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政府工作报告分组讨论会发言稿范文十二篇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政府工作报告分组讨论会发言稿范文十二篇，仅供参考，大家一起...</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下面是小编精心整理的政府工作报告分组讨论会发言稿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政府工作报告分组讨论会发言稿2</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政府工作报告分组讨论会发言稿3</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政府工作报告分组讨论会发言稿4</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政府工作报告分组讨论会发言稿5</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政府工作报告分组讨论会发言稿8</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政府工作报告分组讨论会发言稿10</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政府工作报告分组讨论会发言稿11</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政府工作报告分组讨论会发言稿12</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