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组织生活会应确定主题，一般每年第四季度召开，也可随时召开。党员领导干部要以普通党员身份参加所在党支部组织生活会。引领财经网今天为大家精心准备了组织生活个人发言材料，希望对大家有所帮助!　　组织生活个人发言材料　　在学习实践十九大活动中，透过...</w:t>
      </w:r>
    </w:p>
    <w:p>
      <w:pPr>
        <w:ind w:left="0" w:right="0" w:firstLine="560"/>
        <w:spacing w:before="450" w:after="450" w:line="312" w:lineRule="auto"/>
      </w:pPr>
      <w:r>
        <w:rPr>
          <w:rFonts w:ascii="宋体" w:hAnsi="宋体" w:eastAsia="宋体" w:cs="宋体"/>
          <w:color w:val="000"/>
          <w:sz w:val="28"/>
          <w:szCs w:val="28"/>
        </w:rPr>
        <w:t xml:space="preserve">组织生活会应确定主题，一般每年第四季度召开，也可随时召开。党员领导干部要以普通党员身份参加所在党支部组织生活会。引领财经网今天为大家精心准备了组织生活个人发言材料，希望对大家有所帮助![_TAG_h2]　　组织生活个人发言材料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根据郑市政管党(20_)11号关于印发《郑州市市政工程管理处20_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 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2025-05-02T19:05:49+08:00</dcterms:created>
  <dcterms:modified xsi:type="dcterms:W3CDTF">2025-05-02T19:05:49+08:00</dcterms:modified>
</cp:coreProperties>
</file>

<file path=docProps/custom.xml><?xml version="1.0" encoding="utf-8"?>
<Properties xmlns="http://schemas.openxmlformats.org/officeDocument/2006/custom-properties" xmlns:vt="http://schemas.openxmlformats.org/officeDocument/2006/docPropsVTypes"/>
</file>