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党史学习教育民主生活会发言提纲十九篇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以下是为大家整理的关于党史学习教育民主生活会发言提纲的文章19篇 ,欢迎品鉴！【篇1】党史学习教育民主生活会发言提纲&gt;　　一、存在...</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以下是为大家整理的关于党史学习教育民主生活会发言提纲的文章19篇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 </w:t>
      </w:r>
    </w:p>
    <w:p>
      <w:pPr>
        <w:ind w:left="0" w:right="0" w:firstLine="560"/>
        <w:spacing w:before="450" w:after="450" w:line="312" w:lineRule="auto"/>
      </w:pPr>
      <w:r>
        <w:rPr>
          <w:rFonts w:ascii="宋体" w:hAnsi="宋体" w:eastAsia="宋体" w:cs="宋体"/>
          <w:color w:val="000"/>
          <w:sz w:val="28"/>
          <w:szCs w:val="28"/>
        </w:rPr>
        <w:t xml:space="preserve">&gt;　　一、存在的主要问题及表现  </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 </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  </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