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环境保护督察整改专题民主生活会个人对照检查发言提纲范文(精选6篇)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,欢迎品鉴！第1篇: 环境保护督察整改专题民主生活会个人对照检查发言提...</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第4篇: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第5篇: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