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关于新疆四史研讨发言材料【三篇】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新疆四史研讨发言材料【三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新疆四史研讨发言材料【三篇】，仅供参考，大家一起来看看吧。[_TAG_h2]【篇1】新疆四史研讨发言材料</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　　</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　　</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【篇2】新疆四史研讨发言材料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【篇3】新疆四史研讨发言材料</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