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移动公司安全产题演讲稿5篇范文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结构形式要求也不像演讲稿那么严格，可以根据会议的内容、一件事事后的感想、需要等情况而有所区别。安全无小事，我们在任何时候都要注意安全，怎样去写好安全演讲稿呢？你是否在找正准备撰写“移动公司安全产题演讲稿”，下面小编收集...</w:t>
      </w:r>
    </w:p>
    <w:p>
      <w:pPr>
        <w:ind w:left="0" w:right="0" w:firstLine="560"/>
        <w:spacing w:before="450" w:after="450" w:line="312" w:lineRule="auto"/>
      </w:pPr>
      <w:r>
        <w:rPr>
          <w:rFonts w:ascii="宋体" w:hAnsi="宋体" w:eastAsia="宋体" w:cs="宋体"/>
          <w:color w:val="000"/>
          <w:sz w:val="28"/>
          <w:szCs w:val="28"/>
        </w:rPr>
        <w:t xml:space="preserve">演讲稿的写法比较灵活，结构形式要求也不像演讲稿那么严格，可以根据会议的内容、一件事事后的感想、需要等情况而有所区别。安全无小事，我们在任何时候都要注意安全，怎样去写好安全演讲稿呢？你是否在找正准备撰写“移动公司安全产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1移动公司安全产题演讲稿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2移动公司安全产题演讲稿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3移动公司安全产题演讲稿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4移动公司安全产题演讲稿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5移动公司安全产题演讲稿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2025-08-09T21:27:34+08:00</dcterms:created>
  <dcterms:modified xsi:type="dcterms:W3CDTF">2025-08-09T21:27:34+08:00</dcterms:modified>
</cp:coreProperties>
</file>

<file path=docProps/custom.xml><?xml version="1.0" encoding="utf-8"?>
<Properties xmlns="http://schemas.openxmlformats.org/officeDocument/2006/custom-properties" xmlns:vt="http://schemas.openxmlformats.org/officeDocument/2006/docPropsVTypes"/>
</file>