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学党史办实事发言材料【四篇】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以下是为大家整理的关于学党史办实事发言材料的文章4篇 ,欢迎品鉴！第1篇: 学党史办实事发言材料　　近日，中共中央印发《关于在全党开展党史学习教育的通知》...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以下是为大家整理的关于学党史办实事发言材料的文章4篇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学党史办实事发言材料</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学党史办实事发言材料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