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关于审议政府报告讨论经典发言【十一篇】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经典，读音jīngdiǎn，英文名classics。指具有典范性、权威性的；经久不衰的万世之作；经过历史选择出来的“最有价值经典的”；最能表现本行业的精髓的；最具代表性的；最完美的作品。以下是小编为大家收集的关于审议政府报告讨论经典发言【十...</w:t>
      </w:r>
    </w:p>
    <w:p>
      <w:pPr>
        <w:ind w:left="0" w:right="0" w:firstLine="560"/>
        <w:spacing w:before="450" w:after="450" w:line="312" w:lineRule="auto"/>
      </w:pPr>
      <w:r>
        <w:rPr>
          <w:rFonts w:ascii="宋体" w:hAnsi="宋体" w:eastAsia="宋体" w:cs="宋体"/>
          <w:color w:val="000"/>
          <w:sz w:val="28"/>
          <w:szCs w:val="28"/>
        </w:rPr>
        <w:t xml:space="preserve">经典，读音jīngdiǎn，英文名classics。指具有典范性、权威性的；经久不衰的万世之作；经过历史选择出来的“最有价值经典的”；最能表现本行业的精髓的；最具代表性的；最完美的作品。以下是小编为大家收集的关于审议政府报告讨论经典发言【十一篇】，仅供参考，欢迎大家阅读。[_TAG_h2]【篇1】审议政府报告讨论经典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【篇2】审议政府报告讨论经典发言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【篇3】审议政府报告讨论经典发言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【篇4】审议政府报告讨论经典发言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【篇5】审议政府报告讨论经典发言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xx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【篇6】审议政府报告讨论经典发言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【篇7】审议政府报告讨论经典发言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【篇8】审议政府报告讨论经典发言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【篇9】审议政府报告讨论经典发言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【篇10】审议政府报告讨论经典发言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【篇11】审议政府报告讨论经典发言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2025-06-21T06:30:52+08:00</dcterms:created>
  <dcterms:modified xsi:type="dcterms:W3CDTF">2025-06-21T06:30:52+08:00</dcterms:modified>
</cp:coreProperties>
</file>

<file path=docProps/custom.xml><?xml version="1.0" encoding="utf-8"?>
<Properties xmlns="http://schemas.openxmlformats.org/officeDocument/2006/custom-properties" xmlns:vt="http://schemas.openxmlformats.org/officeDocument/2006/docPropsVTypes"/>
</file>