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党史学习教育发言提纲11篇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以下是为大家整理的关于党史学习教育发言提纲的文章11篇 ,欢迎品鉴！第一篇: 党史学习教育发言提纲　　20_年是中国共产党成立100周年，百年诞辰，风华正...</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党史学习教育发言提纲</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党史学习教育发言提纲</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党史学习教育发言提纲</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