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202_年普通党员组织生活个人发言材料十九篇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以下是为大家整理的关于20_年普通党员组织生活个人发言材料的文章19篇 ,欢迎品鉴！第一篇: 20_年普通党员组织生活个人发言材料　　按照《党委关于召开20_年度组织生活会和开展民主...</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以下是为大家整理的关于20_年普通党员组织生活个人发言材料的文章19篇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_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&gt;一、存在的问题与不足</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&gt;二、努力方向和整改措施</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&gt;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&gt;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&gt;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&gt;二、分析构成的原因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&gt;三、改善措施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&gt;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&gt;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&gt;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　　&gt;一、存在的一些问题：</w:t>
      </w:r>
    </w:p>
    <w:p>
      <w:pPr>
        <w:ind w:left="0" w:right="0" w:firstLine="560"/>
        <w:spacing w:before="450" w:after="450" w:line="312" w:lineRule="auto"/>
      </w:pPr>
      <w:r>
        <w:rPr>
          <w:rFonts w:ascii="宋体" w:hAnsi="宋体" w:eastAsia="宋体" w:cs="宋体"/>
          <w:color w:val="000"/>
          <w:sz w:val="28"/>
          <w:szCs w:val="28"/>
        </w:rPr>
        <w:t xml:space="preserve">　　(一)坚持领悟自觉性有待提高：一是学习缺少一定的积极主动性。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　　(二)党性修养有欠缺：加强党性修养的自觉性不强，缺少改革创新的勇气，精神状态不够振奋，奋斗意识有所弱化。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　　(三)担当意识有松懈</w:t>
      </w:r>
    </w:p>
    <w:p>
      <w:pPr>
        <w:ind w:left="0" w:right="0" w:firstLine="560"/>
        <w:spacing w:before="450" w:after="450" w:line="312" w:lineRule="auto"/>
      </w:pPr>
      <w:r>
        <w:rPr>
          <w:rFonts w:ascii="宋体" w:hAnsi="宋体" w:eastAsia="宋体" w:cs="宋体"/>
          <w:color w:val="000"/>
          <w:sz w:val="28"/>
          <w:szCs w:val="28"/>
        </w:rPr>
        <w:t xml:space="preserve">　　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　　&gt;二、问题根源剖析</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(三)担当意识不够强。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　　&gt;三、解决问题措施</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　　(三)提高工作标准和要求，遇到事情提高效率，多想解决办法;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　　(四)发挥共产党员先锋模范作用，在业务上做精做细，提高担责意识，主动作为。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上级党组织要求保持一致，一是严明政治纪律、严守政治规矩，不折不扣地执行公司的决策部署。坚决把政治纪律和政治规矩放在前面，深入学习习近平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第十九篇: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2025-06-19T16:44:10+08:00</dcterms:created>
  <dcterms:modified xsi:type="dcterms:W3CDTF">2025-06-19T16:44:10+08:00</dcterms:modified>
</cp:coreProperties>
</file>

<file path=docProps/custom.xml><?xml version="1.0" encoding="utf-8"?>
<Properties xmlns="http://schemas.openxmlformats.org/officeDocument/2006/custom-properties" xmlns:vt="http://schemas.openxmlformats.org/officeDocument/2006/docPropsVTypes"/>
</file>