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有关警示教育专题生活会发言材料怎么写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专题生活会发言材料怎么写一xx县商务粮食局，在“不忘初心、牢记使命”主题教育中，部署开展“三个以案”警示教育，举一反三，汲取教训，引为镜鉴，把力戒形式主义、官僚主义作为“不忘初心、牢记使命”主题教育的重要任务抓严抓实，把“改”字...</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有关警示教育专题生活会发言材料怎么写一</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有关警示教育专题生活会发言材料怎么写二</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