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推荐能力作风建设年发言材料怎么写(八篇)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发言材料怎么写一以习近平新时代中国特色社会主义思想为指导,贯彻落实习近平***关于增强“八项本领”、提升“七种能力”和加强作风建设的重大要求,坚持党建为先、转型为纲、项目为王、改革为要、创新为上、融合为重,贯彻新发展理念,...</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推荐能力作风建设年发言材料怎么写二</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推荐能力作风建设年发言材料怎么写三</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推荐能力作风建设年发言材料怎么写四</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推荐能力作风建设年发言材料怎么写五</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推荐能力作风建设年发言材料怎么写六</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