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转让货款合同范本(精选44篇)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转让货款合同范本1甲方(受让方)： 乙方(转让方)： ***本合同乙方将其《***》的专利权无偿转让给甲方，转让后由甲、乙双方共同使用。双方经过平等协商，在真实、充分地表达各自意愿的基础上，根据《_合同法》的规定，达成如下协议，并由双方共同...</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转让货款合同范本5</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转让货款合同范本17</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转让货款合同范本20</w:t>
      </w:r>
    </w:p>
    <w:p>
      <w:pPr>
        <w:ind w:left="0" w:right="0" w:firstLine="560"/>
        <w:spacing w:before="450" w:after="450" w:line="312" w:lineRule="auto"/>
      </w:pPr>
      <w:r>
        <w:rPr>
          <w:rFonts w:ascii="宋体" w:hAnsi="宋体" w:eastAsia="宋体" w:cs="宋体"/>
          <w:color w:val="000"/>
          <w:sz w:val="28"/>
          <w:szCs w:val="28"/>
        </w:rPr>
        <w:t xml:space="preserve">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转让货款合同范本22</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