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2024年广告牌制作合同封面(21篇)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甲方：乙方：根据《中华人民共和国广告法》,《中华人民共和国民法典》及国家相关法律、法规的规定,甲、乙双方在平等、自愿、等价有偿、公平、诚实信用的基础上,经友好协商,就甲方委托乙方制作及安装的事宜,达成一致意见,特签订本合...</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1、项目名称：____________型广告塔</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1、依据甲乙双方确认的_______《______》施工，钢结构加工包括结构表面刷两遍__漆(___色)，工程做法及选材标准详见施工图。委托加工数量为《________》型广告塔。</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《_______》型广告塔，单价每座____元(大写：_____)。合计人民币____元，大写：______元整;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五、工程期限为____天，其中加工配件____天，运输____天,安装____天。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_____的纠察时，甲方负责协调至正常施工止。协调期间停工应由甲方补偿乙方施工人员误工补助，误工补助按每天每人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kn/m2(抗风设计值为____级)。广告塔质保期为____年，保修期为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