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餐饮加盟店的合同(8篇)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餐饮加盟店的合同一乙方：___________________________签署地：_________________________为共同拓展甲方销售市场，促进产品销售，提高服务水平，经甲、乙双方共同协商，签订此合同书，条款如下：第一条...</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餐饮加盟店的合同七</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