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2024书面婚前协议通用版5篇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w:t>
      </w:r>
    </w:p>
    <w:p>
      <w:pPr>
        <w:ind w:left="0" w:right="0" w:firstLine="560"/>
        <w:spacing w:before="450" w:after="450" w:line="312" w:lineRule="auto"/>
      </w:pPr>
      <w:r>
        <w:rPr>
          <w:rFonts w:ascii="宋体" w:hAnsi="宋体" w:eastAsia="宋体" w:cs="宋体"/>
          <w:color w:val="000"/>
          <w:sz w:val="28"/>
          <w:szCs w:val="28"/>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岁月温柔以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 仅以负债方所有财产为限清偿，不得涉及另一方财产。因一方负债致另一方财产损失 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发动机号码______________;木器加工厂一座(资产总价值50万元)，住房一套(____市____区____路______号____居民小区__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