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2025年房屋门面出租合同精简版四篇(汇总)</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门面出租合同门面出租合同一承租方：_________________________根据《中华人民共和国合同法》有关规定，为明确出租方与承租方的权利与义务的关系，经双方协议一致，签订本合同。第一条房屋权属、坐落、间数、面积、质量与用途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房屋门面出租合同门面出租合同二</w:t>
      </w:r>
    </w:p>
    <w:p>
      <w:pPr>
        <w:ind w:left="0" w:right="0" w:firstLine="560"/>
        <w:spacing w:before="450" w:after="450" w:line="312" w:lineRule="auto"/>
      </w:pPr>
      <w:r>
        <w:rPr>
          <w:rFonts w:ascii="宋体" w:hAnsi="宋体" w:eastAsia="宋体" w:cs="宋体"/>
          <w:color w:val="000"/>
          <w:sz w:val="28"/>
          <w:szCs w:val="28"/>
        </w:rPr>
        <w:t xml:space="preserve">门面出租或称商铺出租，是将门面使用权经过合法途径交与个人、团体或单位使用，从中收取租金的行为方式，门面出租不涉及到门面产权的转移。签订房屋门面出租合同需要注意什么呢?以下是本站小编整理的房屋门面出租合同，欢迎参考阅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电话号码： 电话号码：</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房屋门面出租合同门面出租合同四</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