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关于金融高管述职报告通用</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金融高管述职报告通用一(一)金融监督管理双方同意由两岸金融监督管理机构就两岸银行业、证券及期货业、保险业分别建立监督管理合作机制，确保对互设机构实施有效监管。双方银行业、证券及期货业、保险业等金融监督管理机构得依行业惯例，就合作事宜作出...</w:t>
      </w:r>
    </w:p>
    <w:p>
      <w:pPr>
        <w:ind w:left="0" w:right="0" w:firstLine="560"/>
        <w:spacing w:before="450" w:after="450" w:line="312" w:lineRule="auto"/>
      </w:pPr>
      <w:r>
        <w:rPr>
          <w:rFonts w:ascii="黑体" w:hAnsi="黑体" w:eastAsia="黑体" w:cs="黑体"/>
          <w:color w:val="000000"/>
          <w:sz w:val="36"/>
          <w:szCs w:val="36"/>
          <w:b w:val="1"/>
          <w:bCs w:val="1"/>
        </w:rPr>
        <w:t xml:space="preserve">关于金融高管述职报告通用一</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关于金融高管述职报告通用二</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关于金融高管述职报告通用三</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关于金融高管述职报告通用四</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