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推荐月度财务述职报告(推荐)(五篇)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月度财务述职报告(推荐)一1.做好财务基础管理，及时完成各项日常工作每日按时完成银行明细表、每日资金计划表、银行余额表、付款申请呈审单的编制及报送工作，及时完成各项原始凭证的审核、资金支付、费用报销、发票开具、记账凭证编制等日常工作。2...</w:t>
      </w:r>
    </w:p>
    <w:p>
      <w:pPr>
        <w:ind w:left="0" w:right="0" w:firstLine="560"/>
        <w:spacing w:before="450" w:after="450" w:line="312" w:lineRule="auto"/>
      </w:pPr>
      <w:r>
        <w:rPr>
          <w:rFonts w:ascii="黑体" w:hAnsi="黑体" w:eastAsia="黑体" w:cs="黑体"/>
          <w:color w:val="000000"/>
          <w:sz w:val="36"/>
          <w:szCs w:val="36"/>
          <w:b w:val="1"/>
          <w:bCs w:val="1"/>
        </w:rPr>
        <w:t xml:space="preserve">推荐月度财务述职报告(推荐)一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推荐月度财务述职报告(推荐)二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推荐月度财务述职报告(推荐)三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月度销售总结报告4[_TAG_h2]推荐月度财务述职报告(推荐)四</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推荐月度财务述职报告(推荐)五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 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 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