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2024年村级党支部书记述职报告怎么写</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村级党支部书记述职报告怎么写一“打铁先得自身硬”，作为一名村干部，官不大、责任大，职位小，事不少，要想做好工作，必须具有较强的政策理论水平和较高政治素养。一年来，立足本职工作的要求，坚定了正确的政治方向；提高了思想政治素质，始终把思...</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20_年村级党支部书记述职报告怎么写一</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四是信息帮扶。利用自身优势，无偿为困难群众提供劳务、介绍就业信息等服务，拓宽致富渠道。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20_年村级党支部书记述职报告怎么写三</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