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关于年终银行述职报告范文简短(六篇)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年终银行述职报告范文简短一1、这一年中取得的成绩及进步刚刚过去的20__年，我经历了人生中很多个第一次：第一次单位搬迁、第一次工作单位变动、第一次赴浙江大学学习、第一次成功营销单笔过亿元贷款、第一次创造支行公司业务开门红、第一次收取大额...</w:t>
      </w:r>
    </w:p>
    <w:p>
      <w:pPr>
        <w:ind w:left="0" w:right="0" w:firstLine="560"/>
        <w:spacing w:before="450" w:after="450" w:line="312" w:lineRule="auto"/>
      </w:pPr>
      <w:r>
        <w:rPr>
          <w:rFonts w:ascii="黑体" w:hAnsi="黑体" w:eastAsia="黑体" w:cs="黑体"/>
          <w:color w:val="000000"/>
          <w:sz w:val="36"/>
          <w:szCs w:val="36"/>
          <w:b w:val="1"/>
          <w:bCs w:val="1"/>
        </w:rPr>
        <w:t xml:space="preserve">关于年终银行述职报告范文简短一</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关于年终银行述职报告范文简短二</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w:t>
      </w:r>
    </w:p>
    <w:p>
      <w:pPr>
        <w:ind w:left="0" w:right="0" w:firstLine="560"/>
        <w:spacing w:before="450" w:after="450" w:line="312" w:lineRule="auto"/>
      </w:pPr>
      <w:r>
        <w:rPr>
          <w:rFonts w:ascii="宋体" w:hAnsi="宋体" w:eastAsia="宋体" w:cs="宋体"/>
          <w:color w:val="000"/>
          <w:sz w:val="28"/>
          <w:szCs w:val="28"/>
        </w:rPr>
        <w:t xml:space="preserve">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编后语：以上这份关于“银行柜员年终工作总结”的工作总结内容就是这样子，希望对您写年终工作总结有所帮助!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xx街分理处开户的xxx公司划给xx支行，仅这一户就带走对公款xx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 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2025-06-22T06:16:18+08:00</dcterms:created>
  <dcterms:modified xsi:type="dcterms:W3CDTF">2025-06-22T06:16:18+08:00</dcterms:modified>
</cp:coreProperties>
</file>

<file path=docProps/custom.xml><?xml version="1.0" encoding="utf-8"?>
<Properties xmlns="http://schemas.openxmlformats.org/officeDocument/2006/custom-properties" xmlns:vt="http://schemas.openxmlformats.org/officeDocument/2006/docPropsVTypes"/>
</file>