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2024年酒店财务经理个人述职报告 酒店财务经理述职报告(三篇)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经理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酒店财务经理述职报告二</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酒店财务经理述职报告三</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