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一一、商场运营工作20__年，商业运营部在面临整体商业氛围低迷的现实情况并结合“住邦·万晟”广场（以下简称：商场）的自身实际，及时调整招商思路及方案，采取多种方式方法开展招商工作，尽量做到商场效益最大化。现已形成租赁与联营并...</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