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电气自主实习报告范文</w:t>
      </w:r>
      <w:bookmarkEnd w:id="1"/>
    </w:p>
    <w:p>
      <w:pPr>
        <w:jc w:val="center"/>
        <w:spacing w:before="0" w:after="450"/>
      </w:pPr>
      <w:r>
        <w:rPr>
          <w:rFonts w:ascii="Arial" w:hAnsi="Arial" w:eastAsia="Arial" w:cs="Arial"/>
          <w:color w:val="999999"/>
          <w:sz w:val="20"/>
          <w:szCs w:val="20"/>
        </w:rPr>
        <w:t xml:space="preserve">来源：网络  作者：梦里寻梅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电气类的实习报告了，这就来动笔写写。作为电气实习员工，大家要始终坚持公司提出的工作原则，电气技术员工不能只会技术，而不懂编程等工作。你是否在找正准备撰写“电气自主实习报告”，下面小编收集了相关的素材，供大家写文参考！1电气自主...</w:t>
      </w:r>
    </w:p>
    <w:p>
      <w:pPr>
        <w:ind w:left="0" w:right="0" w:firstLine="560"/>
        <w:spacing w:before="450" w:after="450" w:line="312" w:lineRule="auto"/>
      </w:pPr>
      <w:r>
        <w:rPr>
          <w:rFonts w:ascii="宋体" w:hAnsi="宋体" w:eastAsia="宋体" w:cs="宋体"/>
          <w:color w:val="000"/>
          <w:sz w:val="28"/>
          <w:szCs w:val="28"/>
        </w:rPr>
        <w:t xml:space="preserve">不少人都有写过电气类的实习报告了，这就来动笔写写。作为电气实习员工，大家要始终坚持公司提出的工作原则，电气技术员工不能只会技术，而不懂编程等工作。你是否在找正准备撰写“电气自主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1电气自主实习报告</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2电气自主实习报告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黑体" w:hAnsi="黑体" w:eastAsia="黑体" w:cs="黑体"/>
          <w:color w:val="000000"/>
          <w:sz w:val="36"/>
          <w:szCs w:val="36"/>
          <w:b w:val="1"/>
          <w:bCs w:val="1"/>
        </w:rPr>
        <w:t xml:space="preserve">3电气自主实习报告</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2025-07-30T11:53:45+08:00</dcterms:created>
  <dcterms:modified xsi:type="dcterms:W3CDTF">2025-07-30T11:53:45+08:00</dcterms:modified>
</cp:coreProperties>
</file>

<file path=docProps/custom.xml><?xml version="1.0" encoding="utf-8"?>
<Properties xmlns="http://schemas.openxmlformats.org/officeDocument/2006/custom-properties" xmlns:vt="http://schemas.openxmlformats.org/officeDocument/2006/docPropsVTypes"/>
</file>