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小学教师个人计划工作计划精选5篇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素质教育的提高，重点体现在教学质量的提高，要提高教...</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就是我的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就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和影响着学生。因此，教师必须“美其德，慎其行”，不能出现一点疏漏。大凡都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二、教材基本内容分析：</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三、教学的具体目标(含检测内容与方向)：</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四、教学的主要措施及方法：</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我自1986年师范毕业至今，工作二十四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５、认真学习信息技术知识，利用现代化辅助教学手段提高课堂教学效果。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