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精选商场保安年终总结以及明年工作计划(五篇)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年终总结以及明年工作计划一疏导后院进出货物的车辆，保持后院消防通道的畅通等，登记工作：登记外来人员进入商场施工的检查；巡视工作：白天巡视商场内有无可疑人员；消防通道是否畅通；消防设施是否被占用等；晚上巡视施工区域是否有消防器材，...</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精选商场保安年终总结以及明年工作计划一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精选商场保安年终总结以及明年工作计划二</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回望20xx年的工作情况，仍有部分不足，在新的一年内完善。其中：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精选商场保安年终总结以及明年工作计划三</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精选商场保安年终总结以及明年工作计划四</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精选商场保安年终总结以及明年工作计划五</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