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如何写人力资源公司度工作计划通用</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人力资源公司度工作计划通用一1、组织架构合理化调整，提高工作效率。2、降低生产工人离职率，稳定生产。3、建立培训体系。4、完善kpi考核。5、完善公司制度。6、团队建设，和谐部门关系，建立顺畅的沟通机制。一、人力资源规划1、根据预期目...</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如何写人力资源公司度工作计划通用一</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如何写人力资源公司度工作计划通用二</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如何写人力资源公司度工作计划通用三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岗级12 2级，最低岗级为3 2级；管理及专业技术岗位以电业局局长为岗级19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本文来源：http:///fanwendaquan/21246/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