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推荐企业工作计划范文书如何写(7篇)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企业工作计划范文书如何写一一、切实完成年营销任务，力保工程进度不脱节1、实行置业任务分解，确保策划代理合同兑现20__年公司各类楼盘的销售任务是1.5亿元，其中一季度1500万元、二季度4500万元、三季度4500万元、四季度4500万...</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推荐企业工作计划范文书如何写一</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1.5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下一页更多精彩\"企业年度工作计划\"</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推荐企业工作计划范文书如何写二</w:t>
      </w:r>
    </w:p>
    <w:p>
      <w:pPr>
        <w:ind w:left="0" w:right="0" w:firstLine="560"/>
        <w:spacing w:before="450" w:after="450" w:line="312" w:lineRule="auto"/>
      </w:pPr>
      <w:r>
        <w:rPr>
          <w:rFonts w:ascii="宋体" w:hAnsi="宋体" w:eastAsia="宋体" w:cs="宋体"/>
          <w:color w:val="000"/>
          <w:sz w:val="28"/>
          <w:szCs w:val="28"/>
        </w:rPr>
        <w:t xml:space="preserve">××××年度销售工作计划*有三方面的内容：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推荐企业工作计划范文书如何写三</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推荐企业工作计划范文书如何写四</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推荐企业工作计划范文书如何写五</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推荐企业工作计划范文书如何写六</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推荐企业工作计划范文书如何写七</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