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计划(二十一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一一、指导思想按照20__年全国禁毒宣传教育工作要点，以宣传《禁毒法》、新型危害、新一轮禁毒人民战争为重点，以“依法禁毒，构建和谐”为主题，组织全妇女集中开展禁毒宣传教育活动，旨在进一步动员各级妇联组织和广大女性积极主动地参...</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八</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十九</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篇二十</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二十一</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