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最新宣传部年度工作计划 宣传年度工作计划(7篇)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宣传部年度工作计划 宣传年度工作计划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宣传年度工作计划三</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宣传年度工作计划四</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宣传年度工作计划六</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宣传年度工作计划七</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