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2024年教师个人教学计划5篇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一、指导思想：在进一步明确了教学中应...</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想要我们的课堂更加顺利有趣，我们就要提前写好教学计划，小编今天就为您带来了2024年教师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五、教室环境的创设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六、幼儿心理环境的创设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为加强语文教学的研究，提高语文教师群体的业务素质和课堂教学水平，促进学生的全面、持续、和谐发展，本学期特制定教研计划如下：</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4、在新课改形式下，教师要转变观念，发奋领悟新课改相关理念，领会课改精神，关注每一位学生，让学生通过美术课的领悟得以身心健康的发展，同时实现教师与新课程的共同成长。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