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有关公务员转正实用(5篇)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公务员转正实用一一是明确了党的大政方针，政治理论素养有了很大提高。作为一名合格的公务员，必须提高自身的政治理论素养。应该熟知党的各项方针政策，认清各种当前社会政治、经济形势，要善于把握正确的前进方向，要毫不动摇的坚持社会主义道路。只有首...</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有关公务员转正实用一</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_年七月毕业于_大学，_年月份分配到镇工作。一年以来，在镇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刚从大学校园走出的我，把社会当成另一所大学。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人文秘家园，我还利用工作和业余时间系统地学习了《代表履职手册》、换届选举的有关法。</w:t>
      </w:r>
    </w:p>
    <w:p>
      <w:pPr>
        <w:ind w:left="0" w:right="0" w:firstLine="560"/>
        <w:spacing w:before="450" w:after="450" w:line="312" w:lineRule="auto"/>
      </w:pPr>
      <w:r>
        <w:rPr>
          <w:rFonts w:ascii="宋体" w:hAnsi="宋体" w:eastAsia="宋体" w:cs="宋体"/>
          <w:color w:val="000"/>
          <w:sz w:val="28"/>
          <w:szCs w:val="28"/>
        </w:rPr>
        <w:t xml:space="preserve">二、工作方面：一年来，我本着谦虚、负责的态度，认真做好本职工作，每天和同事一起提前做好党政办公室和人大办公室的清扫、整理，并随时注意保持办公室、走道的清洁卫生。下半年，镇人大安排我担任人文秘家园，我认真做好人大办的收文、发文登记，认真打英复印人大文件材料，镇党委、政府有会议和接待时，我服从党委、政府的安排，积极做好会议准备和接待等。在日常工作中我始终服从、服务于镇党委、政府的工作大局，对领导安排的每一项工作任务，能够积极完成，从不推委拖踏。同时，协助主席、副主席完成好人大的各项工作。另外我自觉遵守国家法律、法规以及相关行政规章、政策，自觉遵守镇政府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现一年的公务员见习期已满，恳请镇党委、政府给予批准公务员转正为盼!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有关公务员转正实用三</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有关公务员转正实用四</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有关公务员转正实用五</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2025-06-15T21:02:32+08:00</dcterms:created>
  <dcterms:modified xsi:type="dcterms:W3CDTF">2025-06-15T21:02:32+08:00</dcterms:modified>
</cp:coreProperties>
</file>

<file path=docProps/custom.xml><?xml version="1.0" encoding="utf-8"?>
<Properties xmlns="http://schemas.openxmlformats.org/officeDocument/2006/custom-properties" xmlns:vt="http://schemas.openxmlformats.org/officeDocument/2006/docPropsVTypes"/>
</file>