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上级党委先进性教育征求意见座谈会上的发言在上级党委先进性教育征求意见座谈会上的发言按照党委征求意见座谈会的要求，我代表党委作以下发言：一、对党委近几年工作和开展党员先进性教育以来工作的总体认识从近几年的工作情况看，党委认为党委班子是一个政...</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