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整改方案</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指导思想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实实在在地感受到教育活动带来的变化和进步为总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二、个人对照先进性存在的问题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四是工作作风不够扎实。虽然来中心取得了一定的成绩。但是树立为经济发展服务意识不够深刻。特权思想时有存在。与时俱进，创新意识不够健全，虽能熟练掌握本单位的工作，但是灵活性掌握的不够活。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炎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自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