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2024年医生进修自我鉴定表 医生进修自我鉴定(四篇)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 医生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医生进修自我鉴定二</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 医生进修自我鉴定四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