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浅谈全球化下的ＷＴＯ与中国经济</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[BT(3+1][WTFZ][STFZ]3 财务管理专业的培养目标与人才知识结构定位高等学校既然以育人为基本职能，那么对受 教育 者的素质及规格制定的培养目标，就应成为高等学校工作的出发点和归宿。要提高教学质量，首先必须在培养目标上体现时代...</w:t>
      </w:r>
    </w:p>
    <w:p>
      <w:pPr>
        <w:ind w:left="0" w:right="0" w:firstLine="560"/>
        <w:spacing w:before="450" w:after="450" w:line="312" w:lineRule="auto"/>
      </w:pPr>
      <w:r>
        <w:rPr>
          <w:rFonts w:ascii="宋体" w:hAnsi="宋体" w:eastAsia="宋体" w:cs="宋体"/>
          <w:color w:val="000"/>
          <w:sz w:val="28"/>
          <w:szCs w:val="28"/>
        </w:rPr>
        <w:t xml:space="preserve">[BT(3+1][WTFZ][STFZ]3 财务管理专业的培养目标与人才知识结构定位</w:t>
      </w:r>
    </w:p>
    <w:p>
      <w:pPr>
        <w:ind w:left="0" w:right="0" w:firstLine="560"/>
        <w:spacing w:before="450" w:after="450" w:line="312" w:lineRule="auto"/>
      </w:pPr>
      <w:r>
        <w:rPr>
          <w:rFonts w:ascii="宋体" w:hAnsi="宋体" w:eastAsia="宋体" w:cs="宋体"/>
          <w:color w:val="000"/>
          <w:sz w:val="28"/>
          <w:szCs w:val="28"/>
        </w:rPr>
        <w:t xml:space="preserve">高等学校既然以育人为基本职能，那么对受 教育 者的素质及规格制定的培养目标，就应成为高等学校工作的出发点和归宿。要提高教学质量，首先必须在培养目标上体现时代精神和时代需要。</w:t>
      </w:r>
    </w:p>
    <w:p>
      <w:pPr>
        <w:ind w:left="0" w:right="0" w:firstLine="560"/>
        <w:spacing w:before="450" w:after="450" w:line="312" w:lineRule="auto"/>
      </w:pPr>
      <w:r>
        <w:rPr>
          <w:rFonts w:ascii="宋体" w:hAnsi="宋体" w:eastAsia="宋体" w:cs="宋体"/>
          <w:color w:val="000"/>
          <w:sz w:val="28"/>
          <w:szCs w:val="28"/>
        </w:rPr>
        <w:t xml:space="preserve">对于财务管理这样一个专业性相对较强而又与 工商 管理 领域的其他多个环节存在广泛联系的学科专业来说，确定其培养目标应突出处理好两个方面的关系：一是专业操作技能与综合管理能力的关系。一名合格的财务管理人才，既应通晓财务核算的技术、方法和财务管理程序，具有娴熟的业务操作技能，更应从战略上精通企业理财之道，具有全面的谋划运筹能力。</w:t>
      </w:r>
    </w:p>
    <w:p>
      <w:pPr>
        <w:ind w:left="0" w:right="0" w:firstLine="560"/>
        <w:spacing w:before="450" w:after="450" w:line="312" w:lineRule="auto"/>
      </w:pPr>
      <w:r>
        <w:rPr>
          <w:rFonts w:ascii="宋体" w:hAnsi="宋体" w:eastAsia="宋体" w:cs="宋体"/>
          <w:color w:val="000"/>
          <w:sz w:val="28"/>
          <w:szCs w:val="28"/>
        </w:rPr>
        <w:t xml:space="preserve">二是“通才”与“专才”的关系。“通”与“专”是现代 高等教育 的一对矛盾，既对立又统一。</w:t>
      </w:r>
    </w:p>
    <w:p>
      <w:pPr>
        <w:ind w:left="0" w:right="0" w:firstLine="560"/>
        <w:spacing w:before="450" w:after="450" w:line="312" w:lineRule="auto"/>
      </w:pPr>
      <w:r>
        <w:rPr>
          <w:rFonts w:ascii="宋体" w:hAnsi="宋体" w:eastAsia="宋体" w:cs="宋体"/>
          <w:color w:val="000"/>
          <w:sz w:val="28"/>
          <w:szCs w:val="28"/>
        </w:rPr>
        <w:t xml:space="preserve">一方面，现代 社会 的分工日益细密，隔行如隔山，这就要求高等教育能够为各“行”培养专门人才；另一方面，现代社会相关“行”之间的联系和协作又十分密切和普遍，这又要求高等教育培养的专门人才在知识结构上不能过分单一。正确的培养目标定位应是将财务管理专业学生培养成“通才”基础上的具有突出专业特长的“专才”，这也是符合高等教育“厚基础、宽口径、高素质、强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[2]丁依群,陈翠芳.知识经济 环境 下财务人才培养模式改革探析[J]. 审计 与理财,202_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2025-07-08T08:08:05+08:00</dcterms:created>
  <dcterms:modified xsi:type="dcterms:W3CDTF">2025-07-08T08:08:05+08:00</dcterms:modified>
</cp:coreProperties>
</file>

<file path=docProps/custom.xml><?xml version="1.0" encoding="utf-8"?>
<Properties xmlns="http://schemas.openxmlformats.org/officeDocument/2006/custom-properties" xmlns:vt="http://schemas.openxmlformats.org/officeDocument/2006/docPropsVTypes"/>
</file>