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财政赤字辨析</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财政赤字辨析 财政赤字辨析 财政赤字辨析 郑春荣 （上海财经大学99级博士研究生）一、利息支出是否应列入经常性支出财政赤字=经常性收入-经常性支出-投资性支出-公债的利息支出（1）财政赤字=经常性收入-经常性支出-建设性支出（2）二、地方财...</w:t>
      </w:r>
    </w:p>
    <w:p>
      <w:pPr>
        <w:ind w:left="0" w:right="0" w:firstLine="560"/>
        <w:spacing w:before="450" w:after="450" w:line="312" w:lineRule="auto"/>
      </w:pPr>
      <w:r>
        <w:rPr>
          <w:rFonts w:ascii="宋体" w:hAnsi="宋体" w:eastAsia="宋体" w:cs="宋体"/>
          <w:color w:val="000"/>
          <w:sz w:val="28"/>
          <w:szCs w:val="28"/>
        </w:rPr>
        <w:t xml:space="preserve">财政赤字辨析 财政赤字辨析 财政赤字辨析 郑春荣 （上海财经大学99级博士研究生）</w:t>
      </w:r>
    </w:p>
    <w:p>
      <w:pPr>
        <w:ind w:left="0" w:right="0" w:firstLine="560"/>
        <w:spacing w:before="450" w:after="450" w:line="312" w:lineRule="auto"/>
      </w:pPr>
      <w:r>
        <w:rPr>
          <w:rFonts w:ascii="宋体" w:hAnsi="宋体" w:eastAsia="宋体" w:cs="宋体"/>
          <w:color w:val="000"/>
          <w:sz w:val="28"/>
          <w:szCs w:val="28"/>
        </w:rPr>
        <w:t xml:space="preserve">一、利息支出是否应列入经常性支出</w:t>
      </w:r>
    </w:p>
    <w:p>
      <w:pPr>
        <w:ind w:left="0" w:right="0" w:firstLine="560"/>
        <w:spacing w:before="450" w:after="450" w:line="312" w:lineRule="auto"/>
      </w:pPr>
      <w:r>
        <w:rPr>
          <w:rFonts w:ascii="宋体" w:hAnsi="宋体" w:eastAsia="宋体" w:cs="宋体"/>
          <w:color w:val="000"/>
          <w:sz w:val="28"/>
          <w:szCs w:val="28"/>
        </w:rPr>
        <w:t xml:space="preserve">财政赤字=经常性收入-经常性支出-投资性支出-公债的利息支出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财政赤字=经常性收入-经常性支出-建设性支出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二、地方财政赤字（盈余）是否应与中央财政赤字相加（抵）</w:t>
      </w:r>
    </w:p>
    <w:p>
      <w:pPr>
        <w:ind w:left="0" w:right="0" w:firstLine="560"/>
        <w:spacing w:before="450" w:after="450" w:line="312" w:lineRule="auto"/>
      </w:pPr>
      <w:r>
        <w:rPr>
          <w:rFonts w:ascii="宋体" w:hAnsi="宋体" w:eastAsia="宋体" w:cs="宋体"/>
          <w:color w:val="000"/>
          <w:sz w:val="28"/>
          <w:szCs w:val="28"/>
        </w:rPr>
        <w:t xml:space="preserve">三、预算外收支赤字是否应列入财政赤字</w:t>
      </w:r>
    </w:p>
    <w:p>
      <w:pPr>
        <w:ind w:left="0" w:right="0" w:firstLine="560"/>
        <w:spacing w:before="450" w:after="450" w:line="312" w:lineRule="auto"/>
      </w:pPr>
      <w:r>
        <w:rPr>
          <w:rFonts w:ascii="宋体" w:hAnsi="宋体" w:eastAsia="宋体" w:cs="宋体"/>
          <w:color w:val="000"/>
          <w:sz w:val="28"/>
          <w:szCs w:val="28"/>
        </w:rPr>
        <w:t xml:space="preserve">在我国财政资金被分为预算内和预算外两部分，另外在体制外还存在着大量的制度外资金。预算外资金由各级政府、部门分散征收与使用，由于存在大量的隐匿收入、帐外设帐、私设“小金库”等，其收支差额无法准确计算，而制度外资金更是“黑箱操作”，难以统计。从目前可掌握的资料来看，我国的财政规模大约是预算内的两倍左右，应该说财政赤字也可用预算外资金、制度外资金冲销一部分。</w:t>
      </w:r>
    </w:p>
    <w:p>
      <w:pPr>
        <w:ind w:left="0" w:right="0" w:firstLine="560"/>
        <w:spacing w:before="450" w:after="450" w:line="312" w:lineRule="auto"/>
      </w:pPr>
      <w:r>
        <w:rPr>
          <w:rFonts w:ascii="宋体" w:hAnsi="宋体" w:eastAsia="宋体" w:cs="宋体"/>
          <w:color w:val="000"/>
          <w:sz w:val="28"/>
          <w:szCs w:val="28"/>
        </w:rPr>
        <w:t xml:space="preserve">四、公共部门借款需求是否为财政赤字</w:t>
      </w:r>
    </w:p>
    <w:p>
      <w:pPr>
        <w:ind w:left="0" w:right="0" w:firstLine="560"/>
        <w:spacing w:before="450" w:after="450" w:line="312" w:lineRule="auto"/>
      </w:pPr>
      <w:r>
        <w:rPr>
          <w:rFonts w:ascii="宋体" w:hAnsi="宋体" w:eastAsia="宋体" w:cs="宋体"/>
          <w:color w:val="000"/>
          <w:sz w:val="28"/>
          <w:szCs w:val="28"/>
        </w:rPr>
        <w:t xml:space="preserve">根据国际货币基金组织关于政府财政统计（GFS）的计算口径，可以将政府分为几个层次，“中央政府”（Central Government）指的是国家一级的公共调控和管理机构。“一般政府”（General Government）包括中央政府和各种地区性政府以及分散的机构如国家养老基金组织和公立大学。一般政府与非金融公共企业合在一起称为“非金融公共部门”（Non－financial Public sector）。最后，中央银行和公有金融机构的帐户再加起来，便得到“综合公共部门”（Consolidated public sector）。</w:t>
      </w:r>
    </w:p>
    <w:p>
      <w:pPr>
        <w:ind w:left="0" w:right="0" w:firstLine="560"/>
        <w:spacing w:before="450" w:after="450" w:line="312" w:lineRule="auto"/>
      </w:pPr>
      <w:r>
        <w:rPr>
          <w:rFonts w:ascii="宋体" w:hAnsi="宋体" w:eastAsia="宋体" w:cs="宋体"/>
          <w:color w:val="000"/>
          <w:sz w:val="28"/>
          <w:szCs w:val="28"/>
        </w:rPr>
        <w:t xml:space="preserve">根据上述规定，国有企业借款在一定程度上也可视为财政赤字。因为国有企业向国外金融机构借款通常要由政府或政府办的银行担保，企业用资产抵债不足部分要由政府或政府的银行来负责偿还。国有企业向国内私人部门的借款绝大部分通过银行中介来实现。企业如果破产，资不抵债的部分就会成为银行的亏损，在银行是政府办的情况下，最终偿债人同样是政府。因此我们在分析政府部门赤字水平时，还有必要考察公共部门的赤字。</w:t>
      </w:r>
    </w:p>
    <w:p>
      <w:pPr>
        <w:ind w:left="0" w:right="0" w:firstLine="560"/>
        <w:spacing w:before="450" w:after="450" w:line="312" w:lineRule="auto"/>
      </w:pPr>
      <w:r>
        <w:rPr>
          <w:rFonts w:ascii="宋体" w:hAnsi="宋体" w:eastAsia="宋体" w:cs="宋体"/>
          <w:color w:val="000"/>
          <w:sz w:val="28"/>
          <w:szCs w:val="28"/>
        </w:rPr>
        <w:t xml:space="preserve">表1 1987－1988年度英国政府赤字</w:t>
      </w:r>
    </w:p>
    <w:p>
      <w:pPr>
        <w:ind w:left="0" w:right="0" w:firstLine="560"/>
        <w:spacing w:before="450" w:after="450" w:line="312" w:lineRule="auto"/>
      </w:pPr>
      <w:r>
        <w:rPr>
          <w:rFonts w:ascii="宋体" w:hAnsi="宋体" w:eastAsia="宋体" w:cs="宋体"/>
          <w:color w:val="000"/>
          <w:sz w:val="28"/>
          <w:szCs w:val="28"/>
        </w:rPr>
        <w:t xml:space="preserve">金额（10亿英镑）</w:t>
      </w:r>
    </w:p>
    <w:p>
      <w:pPr>
        <w:ind w:left="0" w:right="0" w:firstLine="560"/>
        <w:spacing w:before="450" w:after="450" w:line="312" w:lineRule="auto"/>
      </w:pPr>
      <w:r>
        <w:rPr>
          <w:rFonts w:ascii="宋体" w:hAnsi="宋体" w:eastAsia="宋体" w:cs="宋体"/>
          <w:color w:val="000"/>
          <w:sz w:val="28"/>
          <w:szCs w:val="28"/>
        </w:rPr>
        <w:t xml:space="preserve">政府总支出</w:t>
      </w:r>
    </w:p>
    <w:p>
      <w:pPr>
        <w:ind w:left="0" w:right="0" w:firstLine="560"/>
        <w:spacing w:before="450" w:after="450" w:line="312" w:lineRule="auto"/>
      </w:pPr>
      <w:r>
        <w:rPr>
          <w:rFonts w:ascii="宋体" w:hAnsi="宋体" w:eastAsia="宋体" w:cs="宋体"/>
          <w:color w:val="000"/>
          <w:sz w:val="28"/>
          <w:szCs w:val="28"/>
        </w:rPr>
        <w:t xml:space="preserve">政府总收入</w:t>
      </w:r>
    </w:p>
    <w:p>
      <w:pPr>
        <w:ind w:left="0" w:right="0" w:firstLine="560"/>
        <w:spacing w:before="450" w:after="450" w:line="312" w:lineRule="auto"/>
      </w:pPr>
      <w:r>
        <w:rPr>
          <w:rFonts w:ascii="宋体" w:hAnsi="宋体" w:eastAsia="宋体" w:cs="宋体"/>
          <w:color w:val="000"/>
          <w:sz w:val="28"/>
          <w:szCs w:val="28"/>
        </w:rPr>
        <w:t xml:space="preserve">175.8</w:t>
      </w:r>
    </w:p>
    <w:p>
      <w:pPr>
        <w:ind w:left="0" w:right="0" w:firstLine="560"/>
        <w:spacing w:before="450" w:after="450" w:line="312" w:lineRule="auto"/>
      </w:pPr>
      <w:r>
        <w:rPr>
          <w:rFonts w:ascii="宋体" w:hAnsi="宋体" w:eastAsia="宋体" w:cs="宋体"/>
          <w:color w:val="000"/>
          <w:sz w:val="28"/>
          <w:szCs w:val="28"/>
        </w:rPr>
        <w:t xml:space="preserve">168.7</w:t>
      </w:r>
    </w:p>
    <w:p>
      <w:pPr>
        <w:ind w:left="0" w:right="0" w:firstLine="560"/>
        <w:spacing w:before="450" w:after="450" w:line="312" w:lineRule="auto"/>
      </w:pPr>
      <w:r>
        <w:rPr>
          <w:rFonts w:ascii="宋体" w:hAnsi="宋体" w:eastAsia="宋体" w:cs="宋体"/>
          <w:color w:val="000"/>
          <w:sz w:val="28"/>
          <w:szCs w:val="28"/>
        </w:rPr>
        <w:t xml:space="preserve">政府总借款需求</w:t>
      </w:r>
    </w:p>
    <w:p>
      <w:pPr>
        <w:ind w:left="0" w:right="0" w:firstLine="560"/>
        <w:spacing w:before="450" w:after="450" w:line="312" w:lineRule="auto"/>
      </w:pPr>
      <w:r>
        <w:rPr>
          <w:rFonts w:ascii="宋体" w:hAnsi="宋体" w:eastAsia="宋体" w:cs="宋体"/>
          <w:color w:val="000"/>
          <w:sz w:val="28"/>
          <w:szCs w:val="28"/>
        </w:rPr>
        <w:t xml:space="preserve">行业公会市场和海外借款</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公共部门借款需求</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如果我们使用广义的政府概念（Central Government），包括国家和地方的权力机关以及在某些方面代理政府职能的附属机构或实体，如党派、人民团体、协会以及各类事业单位等。而具有自治性质的村委会显然不能列入政府行列。那么相对于西方发达国家，我国目前的财政赤字就要复杂一些。例如国有企业向银行借款，约有三分之一企业由于各种原因还不起。世界银行认为，这是中国财政的准赤字，迟早要由国家归还；还有相当一部分粮食亏损和其他企业的潜亏挂帐，没有弥补，也是财政赤字；由于我国社会保障预算尚未列入财政预算，随着我国老龄化程度的加快，社会保障收支的缺口必然要由财政来弥补。</w:t>
      </w:r>
    </w:p>
    <w:p>
      <w:pPr>
        <w:ind w:left="0" w:right="0" w:firstLine="560"/>
        <w:spacing w:before="450" w:after="450" w:line="312" w:lineRule="auto"/>
      </w:pPr>
      <w:r>
        <w:rPr>
          <w:rFonts w:ascii="宋体" w:hAnsi="宋体" w:eastAsia="宋体" w:cs="宋体"/>
          <w:color w:val="000"/>
          <w:sz w:val="28"/>
          <w:szCs w:val="28"/>
        </w:rPr>
        <w:t xml:space="preserve">五、简短的结论</w:t>
      </w:r>
    </w:p>
    <w:p>
      <w:pPr>
        <w:ind w:left="0" w:right="0" w:firstLine="560"/>
        <w:spacing w:before="450" w:after="450" w:line="312" w:lineRule="auto"/>
      </w:pPr>
      <w:r>
        <w:rPr>
          <w:rFonts w:ascii="宋体" w:hAnsi="宋体" w:eastAsia="宋体" w:cs="宋体"/>
          <w:color w:val="000"/>
          <w:sz w:val="28"/>
          <w:szCs w:val="28"/>
        </w:rPr>
        <w:t xml:space="preserve">通过以上对财政赤字的分析，我们认为对于我国财政赤字水平，不能盲目进行国际比较，要注意其中统计口径的区别，否则会片面估计财政形势，影响宏观调控的成果。我国的财政赤字的主要问题在于：第一，未将公债利息支出列人赤字；第二，未包含预算外、制度外资金的结余；第三，地方的隐性财政赤字尚未统计；第四，还存在许多国有企业亏损、社会保障欠帐等。</w:t>
      </w:r>
    </w:p>
    <w:p>
      <w:pPr>
        <w:ind w:left="0" w:right="0" w:firstLine="560"/>
        <w:spacing w:before="450" w:after="450" w:line="312" w:lineRule="auto"/>
      </w:pPr>
      <w:r>
        <w:rPr>
          <w:rFonts w:ascii="宋体" w:hAnsi="宋体" w:eastAsia="宋体" w:cs="宋体"/>
          <w:color w:val="000"/>
          <w:sz w:val="28"/>
          <w:szCs w:val="28"/>
        </w:rPr>
        <w:t xml:space="preserve">不过真正准确的财政赤字还应当剔除通货膨胀的影响。实际预算赤字可被定义为政府累计债务总额的实际水平在每年的变化。这种方法考虑了因通货膨胀所引起的末偿清债务的实际价值的变动。如果通货膨胀所导致的债务总额的减少大于政府在那一年份的借款，那么该年可能有实际预算盈余，即使表现出来的可能是一个名义赤字。这种情形发生在本世纪70年代后期。当时，美国政府的赤字很小，但通货膨胀率却高达8％。结果是，实际债务下降，出现了实际盈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2025-06-18T16:40:58+08:00</dcterms:created>
  <dcterms:modified xsi:type="dcterms:W3CDTF">2025-06-18T16:40:58+08:00</dcterms:modified>
</cp:coreProperties>
</file>

<file path=docProps/custom.xml><?xml version="1.0" encoding="utf-8"?>
<Properties xmlns="http://schemas.openxmlformats.org/officeDocument/2006/custom-properties" xmlns:vt="http://schemas.openxmlformats.org/officeDocument/2006/docPropsVTypes"/>
</file>