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资源税改革对宏观经济的影响论文</w:t>
      </w:r>
      <w:bookmarkEnd w:id="1"/>
    </w:p>
    <w:p>
      <w:pPr>
        <w:jc w:val="center"/>
        <w:spacing w:before="0" w:after="450"/>
      </w:pPr>
      <w:r>
        <w:rPr>
          <w:rFonts w:ascii="Arial" w:hAnsi="Arial" w:eastAsia="Arial" w:cs="Arial"/>
          <w:color w:val="999999"/>
          <w:sz w:val="20"/>
          <w:szCs w:val="20"/>
        </w:rPr>
        <w:t xml:space="preserve">来源：网络  作者：沉香触手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摘要：论文网为大家整理了资源税改革对宏观经济的影响，希望大家认真阅读，相信对大家能有帮助!一、我国资源税现存主要问题 (一)资源税收法律层次低 税收制度的确立是以法律形式来体现，即通过税法规定国家与纳税人之间的权利与义务。但目前我国缺少一部...</w:t>
      </w:r>
    </w:p>
    <w:p>
      <w:pPr>
        <w:ind w:left="0" w:right="0" w:firstLine="560"/>
        <w:spacing w:before="450" w:after="450" w:line="312" w:lineRule="auto"/>
      </w:pPr>
      <w:r>
        <w:rPr>
          <w:rFonts w:ascii="宋体" w:hAnsi="宋体" w:eastAsia="宋体" w:cs="宋体"/>
          <w:color w:val="000"/>
          <w:sz w:val="28"/>
          <w:szCs w:val="28"/>
        </w:rPr>
        <w:t xml:space="preserve">摘要：论文网为大家整理了资源税改革对宏观经济的影响，希望大家认真阅读，相信对大家能有帮助!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一、我国资源税现存主要问题 (一)资源税收法律层次低 税收制度的确立是以法律形式来体现，即通过税法规定国家与纳税人之间的权利与义务。但目前我国缺少一部真正意义的资源税税法，以暂行条例为依据，法律层次和水平低，弱化了资源税的法律执行效力。另外，资源税名义上为共享税，实际上除了海洋石油企业的资源税由国家税务总局负责征收管理且收入完全归中央之外，其他资源税均由地方税务局负责征收，完全归地方政府支配。这种分税制的管理模式随着资源的日益耗竭，随着可持续发展理念的确立，现在的资源税管理体制已经不能适应新形势的要求。 (二)资源税收制度设计不合理 第一，计税依据不合理。现行资源税的计税依据是：纳税人开采和生产应税产品销售的，以销售数量为课税依据;纳税人开采和生产应税产品自用的，以自用数量为课税依据。</w:t>
      </w:r>
    </w:p>
    <w:p>
      <w:pPr>
        <w:ind w:left="0" w:right="0" w:firstLine="560"/>
        <w:spacing w:before="450" w:after="450" w:line="312" w:lineRule="auto"/>
      </w:pPr>
      <w:r>
        <w:rPr>
          <w:rFonts w:ascii="宋体" w:hAnsi="宋体" w:eastAsia="宋体" w:cs="宋体"/>
          <w:color w:val="000"/>
          <w:sz w:val="28"/>
          <w:szCs w:val="28"/>
        </w:rPr>
        <w:t xml:space="preserve">由此可见，从量计征的资源税课税方式资源禀赋差异考虑不充分，调节深度不足。一方面，从量计征方式没有充分考虑各类自然资源的丰度、地理位置、开发技术难度的不同。</w:t>
      </w:r>
    </w:p>
    <w:p>
      <w:pPr>
        <w:ind w:left="0" w:right="0" w:firstLine="560"/>
        <w:spacing w:before="450" w:after="450" w:line="312" w:lineRule="auto"/>
      </w:pPr>
      <w:r>
        <w:rPr>
          <w:rFonts w:ascii="宋体" w:hAnsi="宋体" w:eastAsia="宋体" w:cs="宋体"/>
          <w:color w:val="000"/>
          <w:sz w:val="28"/>
          <w:szCs w:val="28"/>
        </w:rPr>
        <w:t xml:space="preserve">第二，资源税征税范围狭窄。目前的资源税税制只对矿产资源和盐征收资源税，而对于大部分非矿藏品资源没有征税，难以遏制对其他自然资源的过度开采，并使利用资源和平的下游产品的比价不合理，刺激了对非税资源的掠夺性开采和使用。 第三，资源税的税率过低。我国现行资源税单位税额只反映劣质资源和优质资源之间的单位级差收入，资源税的单位税额偏低，并且资源税税率没有与资源的利用挂钩，导致资源税在保护国家资源、调节收入分配的作用得不到充分发挥。 (三)资源税征管方面存在缺陷 一方面，资源税征管办法不明晰、不规范导致资源税税源呈现复杂化，多元化，同时，由于税费并存，费挤占税的现象严重，征管部门的增多，加大了企业协调的难度和会计核算的工作量。另一方面，征管力量和手段落后。</w:t>
      </w:r>
    </w:p>
    <w:p>
      <w:pPr>
        <w:ind w:left="0" w:right="0" w:firstLine="560"/>
        <w:spacing w:before="450" w:after="450" w:line="312" w:lineRule="auto"/>
      </w:pPr>
      <w:r>
        <w:rPr>
          <w:rFonts w:ascii="宋体" w:hAnsi="宋体" w:eastAsia="宋体" w:cs="宋体"/>
          <w:color w:val="000"/>
          <w:sz w:val="28"/>
          <w:szCs w:val="28"/>
        </w:rPr>
        <w:t xml:space="preserve">税务部门缺乏对资源税的专项税源管理和监控的机构，税源信息监控体系的缺失，导致资源税调控能力严重不足。</w:t>
      </w:r>
    </w:p>
    <w:p>
      <w:pPr>
        <w:ind w:left="0" w:right="0" w:firstLine="560"/>
        <w:spacing w:before="450" w:after="450" w:line="312" w:lineRule="auto"/>
      </w:pPr>
      <w:r>
        <w:rPr>
          <w:rFonts w:ascii="宋体" w:hAnsi="宋体" w:eastAsia="宋体" w:cs="宋体"/>
          <w:color w:val="000"/>
          <w:sz w:val="28"/>
          <w:szCs w:val="28"/>
        </w:rPr>
        <w:t xml:space="preserve">二、资源税改革对宏观层面的影响 (一)资源税改革对政府财政收入的影响 资源税改革有利于地方政府增收，从价计征的资源税改革对财政收入有着明显的影响。资源税将与资源价格直接关联，有利于通过税收调节品利润，提高资源价格进入市场的税收成本，增加政府的税收收入。在当前分税制管理模式下，除了海洋石油资源税归中央外，其他所有资源税收入都由地方政府负责征管和支配，资源税改革后，税率的提高和征税范围的扩大会显著提高资源地地方政府的资源税收入，使资源税占整个地方税财政收入的比重不断上升。资源税改革之后，地方政府可以在资源开发环节获得大量收入，增强本地区的自有财力。对于当地公共物品的提供、减轻环境污染、治理受到破坏的资源环境，补贴需要扶持的行业乃至带动当地的经济发展都会有一定的促进作用。 虽然短期内资源税仍是个小税种，收入预期不可高估，其作用将十分有限。同时，我们也不应以资源税制改革在短期内产生的较大财政收入为目标，而应以在长期内产生的节能和环保方面的影响为侧重点，以经济社会可持续发展为目标，资源税改革应服务于贯彻落实科学发展观，建立资源节约型和环境友好型社会的大战略。 (二)资源税改革对收入分配的影响 资源税制改革是对市场失灵的一种纠正，具有税收负担再分配效果。一方面，政府通过征收资源税收把资源浪费和环境污染的外部成本内部化、利润水平合理化，促进种类企业之间的平等竞争。资源税制改革后，得到的收入不仅能弥补资源的使用，也能弥补资源占用而使他人丧失使用机会后造成的损失。并且，由于贫富阶层消耗资源的不同，通过资源税制改革可以使税收负担在贫富之间发生转移，这样有利于发挥税收调节个从收入分配的功能。另外，通过资源税制改革将税款用于补贴合理有效利用的资源的企业和治理污染与保护环境，使这些企业所产生的外部成本内在化，利润水平合理化，同时减轻那些合乎环境保护要求的企业的税收负担。</w:t>
      </w:r>
    </w:p>
    <w:p>
      <w:pPr>
        <w:ind w:left="0" w:right="0" w:firstLine="560"/>
        <w:spacing w:before="450" w:after="450" w:line="312" w:lineRule="auto"/>
      </w:pPr>
      <w:r>
        <w:rPr>
          <w:rFonts w:ascii="宋体" w:hAnsi="宋体" w:eastAsia="宋体" w:cs="宋体"/>
          <w:color w:val="000"/>
          <w:sz w:val="28"/>
          <w:szCs w:val="28"/>
        </w:rPr>
        <w:t xml:space="preserve">(三)资源税改革对产业投资的影响 通过调节税率，改变计征方式，可以有效遏制掠夺性的资源开发，改变经济发展过于依赖资源消耗的状况。资源税制改革对产业投资的影响一般会降低相关产业的投资收益率，因而会减少投资。当对的使用征收资源税时，资源的价格就会提高，使用资源的企业必须使用高技术含量的设备，减少资源的使用量，提高资源的利用率;当资源的需求量减少时，就会促使生产企业彩先进设备提高开采率。从这一角度讲，资源税改革将会提高企业成本，压缩企业的利润空间，对投资者来说是一个不得不考虑的问题。资源税改革会从税收政策导向上促使企业转变发展方式，抵制和淘汰浪费资源、高耗能、高污染的生产方式，将会产生明显的产业升级和产业转移效应。</w:t>
      </w:r>
    </w:p>
    <w:p>
      <w:pPr>
        <w:ind w:left="0" w:right="0" w:firstLine="560"/>
        <w:spacing w:before="450" w:after="450" w:line="312" w:lineRule="auto"/>
      </w:pPr>
      <w:r>
        <w:rPr>
          <w:rFonts w:ascii="宋体" w:hAnsi="宋体" w:eastAsia="宋体" w:cs="宋体"/>
          <w:color w:val="000"/>
          <w:sz w:val="28"/>
          <w:szCs w:val="28"/>
        </w:rPr>
        <w:t xml:space="preserve">总结：资源税改革对宏观经济的影响就为大家分享到这里了，希望对您撰写文章有帮助，更多精彩论文尽在论文网!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2025-06-20T02:21:15+08:00</dcterms:created>
  <dcterms:modified xsi:type="dcterms:W3CDTF">2025-06-20T02:21:15+08:00</dcterms:modified>
</cp:coreProperties>
</file>

<file path=docProps/custom.xml><?xml version="1.0" encoding="utf-8"?>
<Properties xmlns="http://schemas.openxmlformats.org/officeDocument/2006/custom-properties" xmlns:vt="http://schemas.openxmlformats.org/officeDocument/2006/docPropsVTypes"/>
</file>