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碳税：减排温室气体的重要税收制度</w:t>
      </w:r>
      <w:bookmarkEnd w:id="1"/>
    </w:p>
    <w:p>
      <w:pPr>
        <w:jc w:val="center"/>
        <w:spacing w:before="0" w:after="450"/>
      </w:pPr>
      <w:r>
        <w:rPr>
          <w:rFonts w:ascii="Arial" w:hAnsi="Arial" w:eastAsia="Arial" w:cs="Arial"/>
          <w:color w:val="999999"/>
          <w:sz w:val="20"/>
          <w:szCs w:val="20"/>
        </w:rPr>
        <w:t xml:space="preserve">来源：网络  作者：繁花落寂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碳税：减排温室气体的重要税收制度 碳税：减排温室气体的重要税收制度 碳税：减排温室气体的重要税收制度 马 杰 陈 迎“阿伦纽斯假说”与“京都会议” 据联合国政府间气候变化专业委员会（IPCC）的第二次评估报告称，温室气体，如CO2、 CH4...</w:t>
      </w:r>
    </w:p>
    <w:p>
      <w:pPr>
        <w:ind w:left="0" w:right="0" w:firstLine="560"/>
        <w:spacing w:before="450" w:after="450" w:line="312" w:lineRule="auto"/>
      </w:pPr>
      <w:r>
        <w:rPr>
          <w:rFonts w:ascii="宋体" w:hAnsi="宋体" w:eastAsia="宋体" w:cs="宋体"/>
          <w:color w:val="000"/>
          <w:sz w:val="28"/>
          <w:szCs w:val="28"/>
        </w:rPr>
        <w:t xml:space="preserve">碳税：减排温室气体的重要税收制度 碳税：减排温室气体的重要税收制度 碳税：减排温室气体的重要税收制度 马 杰 陈 迎</w:t>
      </w:r>
    </w:p>
    <w:p>
      <w:pPr>
        <w:ind w:left="0" w:right="0" w:firstLine="560"/>
        <w:spacing w:before="450" w:after="450" w:line="312" w:lineRule="auto"/>
      </w:pPr>
      <w:r>
        <w:rPr>
          <w:rFonts w:ascii="宋体" w:hAnsi="宋体" w:eastAsia="宋体" w:cs="宋体"/>
          <w:color w:val="000"/>
          <w:sz w:val="28"/>
          <w:szCs w:val="28"/>
        </w:rPr>
        <w:t xml:space="preserve">“阿伦纽斯假说”与“京都会议” 据联合国政府间气候变化专业委员会（IPCC）的第二次评估报告称，温室气体，如CO</w:t>
      </w:r>
    </w:p>
    <w:p>
      <w:pPr>
        <w:ind w:left="0" w:right="0" w:firstLine="560"/>
        <w:spacing w:before="450" w:after="450" w:line="312" w:lineRule="auto"/>
      </w:pPr>
      <w:r>
        <w:rPr>
          <w:rFonts w:ascii="宋体" w:hAnsi="宋体" w:eastAsia="宋体" w:cs="宋体"/>
          <w:color w:val="000"/>
          <w:sz w:val="28"/>
          <w:szCs w:val="28"/>
        </w:rPr>
        <w:t xml:space="preserve">2、 CH4（甲烷）和N2O（氧化亚氮），在大气中的浓度从18世纪的工业化时代以来，已经有了很大的增加。究其原因，在很大程度上是由人类活动，主要是矿物燃料的使用、土地使用的变化和农业造成的。温室气体浓度的增加导致了大气和地球表面的变暖。自19世纪末以来，全球平均地面温度上升了0.3—O.6℃；在过去的10O年中，全球海平面也相应上升了10—25厘米（IPCC，1995）。倘若不采取相应举措。让大气中的温室气体浓度仍按目前的速度增加，再过50—100年，全球平均气温将升高2—3℃，海平面将上升30—100厘米，从而使人类所赖以生存的生态和社会经济系统受到极大的危害。尤其对发展中国家而言，其形势显然更为严峻。人类只有一个地球，减少温室气体排放已成为当今国际社会所面临的一个刻不容缓的问题了。 作为发展中国家大国的中国，在签署了《联合国气候框架公约》不久，就公开发表了《中国环境与发展十大对策》。宣布中国将实行可持续发展战略。其中。围绕“控制二氧化碳，减轻大气污染”等问题提出了多项政策和措施。但是，“京都会议“以后，中国所面临的形势却是不容乐观的。在“京都会议”上，一些发达国家提出发展中国家“自愿承诺”的主张。而且美国国会还明确宣布“主要的发展中国家”在温室气体排放控制中。应“有意义的参与”否则国会将不予批准美国加入“京都议定书”。所谓“主要的发展中国家”实际上就是指中国、印度和巴西等国家，而所谓“有意义的参与”，实质上就是要求形成一项对中国等发展中国家有约束力的温室气体未来排放的限制（kopp ctal，1998）。从根本上看，减少温室气体排放以避免因温室效应而带来的气候变化灾难，符合包括发展中国家在内的所有国家的利益；但从现实看。减少温室气体排放又将限制本国的经济和社会发展承受相应的利益损失，将影响国家的发展空间和发展前景。正鉴于此，才使得温室气体减排问题显得格外复杂，因而成为国际社会的热点问题之一。从而又使得温室气体排放问题成为兼具环境——经济——政治三重性质的国际问题。由是，在防止气候变化的过程中，我们所面临的是双重压力，一方面过度排放温室气体会对人类赖以生存的地球生态系统和人类社会发展带来危害。最终影响乃至阻碍经济的健康发展；另一方面一些发达国家忽视中国的现实，不切实际地向中国施压，使我们面临巨大的国际压力。在这种情况下，如何切合中国的实际制定政策，运用必要的技术措施，努力减缓温室气体的排放增长率，这其中理所当然地也包括对经济手段的考虑。</w:t>
      </w:r>
    </w:p>
    <w:p>
      <w:pPr>
        <w:ind w:left="0" w:right="0" w:firstLine="560"/>
        <w:spacing w:before="450" w:after="450" w:line="312" w:lineRule="auto"/>
      </w:pPr>
      <w:r>
        <w:rPr>
          <w:rFonts w:ascii="宋体" w:hAnsi="宋体" w:eastAsia="宋体" w:cs="宋体"/>
          <w:color w:val="000"/>
          <w:sz w:val="28"/>
          <w:szCs w:val="28"/>
        </w:rPr>
        <w:t xml:space="preserve">就中国目前的现实面言，以煤为主的能源结构是形成以城市为中心的大气污染严重的重要原因，排入大气中85%的C02来自燃煤。尤为不能忽视的是，世界经济发展的经验数据表明，当国家和地区的人均GDP处于500美元至3000美元的发展阶段时，往往对应着人口、资源、环境等瓶颈约束最为严重的时期。中国目前仍属于发展中国家，为发展经济、提高人民生活水平、能源消耗势必会加速增长，温室气体排放的增长速度也会有较快的增长，中国的温室气体排放应属于“生存性排放”。但与此同时．我们还必须清醒地看到温室效应毕竟有可能在根本上危害人类的生存环境。从某种意义上说，压力也是动力，在防止气候变化的国际合作与斗争中。中国应该能够寻找到一条符合中国实际的可持续发展之路。</w:t>
      </w:r>
    </w:p>
    <w:p>
      <w:pPr>
        <w:ind w:left="0" w:right="0" w:firstLine="560"/>
        <w:spacing w:before="450" w:after="450" w:line="312" w:lineRule="auto"/>
      </w:pPr>
      <w:r>
        <w:rPr>
          <w:rFonts w:ascii="宋体" w:hAnsi="宋体" w:eastAsia="宋体" w:cs="宋体"/>
          <w:color w:val="000"/>
          <w:sz w:val="28"/>
          <w:szCs w:val="28"/>
        </w:rPr>
        <w:t xml:space="preserve">回到阿瑟·庇古去 今人惋惜的是，从1920年庇古首开污染经济分析的先河以来，近半个世纪里几成绝响，直至60年代未，一些美国经济学家进行环境污染的经济分析的，“庇古税”才开始真正引起人们的注意，美国经济学家Baumol和Oates（1971），分别从环境政策、污染控制、污梁税以及庇古税与统一排污标准成本比较等方面，进行了系统的研究，采用一般均衡分析方法，寻求污染控制的最佳途径。应该说，庇古的关于外部成本通过征税形式使之企业内部化的设想，构成环境污染经济分析的基本框架。其基本特点是，对排污者而不是受害者征税。所以被称为“排污收费（Pearce andTurner。1990）。</w:t>
      </w:r>
    </w:p>
    <w:p>
      <w:pPr>
        <w:ind w:left="0" w:right="0" w:firstLine="560"/>
        <w:spacing w:before="450" w:after="450" w:line="312" w:lineRule="auto"/>
      </w:pPr>
      <w:r>
        <w:rPr>
          <w:rFonts w:ascii="宋体" w:hAnsi="宋体" w:eastAsia="宋体" w:cs="宋体"/>
          <w:color w:val="000"/>
          <w:sz w:val="28"/>
          <w:szCs w:val="28"/>
        </w:rPr>
        <w:t xml:space="preserve">从经济学的意义分析。“庇古税”所偏重的是效率原则，从中性立场出友，引导资源配置优化，以买现怕累托准则（Paretocriterion）。也就是说，建立碳税制度并以此来控制CO2的排放量，可以使不同企业根据各自的控制成本来选择控制量。相比较而言，“庇古税”较之其他控制手段，如排污标准、罚款，在同样的排污控制量的情况下，成本相对要低。对此，Baumol and Oates（1971）、Pearce and Tumer （1990），均有十分精彩的量化分析。所以人们认为，征收碳税可以获得“双倍红利”（double pidends），即用中性的碳税来替代如收入调节税等现有税收，在总税收水平不变的情况下，可达到减排温室气体的目标与调整现有税收制度对经济绩效扭曲程度的双重效果。</w:t>
      </w:r>
    </w:p>
    <w:p>
      <w:pPr>
        <w:ind w:left="0" w:right="0" w:firstLine="560"/>
        <w:spacing w:before="450" w:after="450" w:line="312" w:lineRule="auto"/>
      </w:pPr>
      <w:r>
        <w:rPr>
          <w:rFonts w:ascii="宋体" w:hAnsi="宋体" w:eastAsia="宋体" w:cs="宋体"/>
          <w:color w:val="000"/>
          <w:sz w:val="28"/>
          <w:szCs w:val="28"/>
        </w:rPr>
        <w:t xml:space="preserve">为了寻求控制污染的最优途径。 Baumol and Oates采用一般均衡的方法（1981），以帕累托准则作为优化配置的出发点，使最优庇古税，成为在最优污染水平等于边际外部成本（边际污染损害）时的排污收费（张帆，1998）：</w:t>
      </w:r>
    </w:p>
    <w:p>
      <w:pPr>
        <w:ind w:left="0" w:right="0" w:firstLine="560"/>
        <w:spacing w:before="450" w:after="450" w:line="312" w:lineRule="auto"/>
      </w:pPr>
      <w:r>
        <w:rPr>
          <w:rFonts w:ascii="宋体" w:hAnsi="宋体" w:eastAsia="宋体" w:cs="宋体"/>
          <w:color w:val="000"/>
          <w:sz w:val="28"/>
          <w:szCs w:val="28"/>
        </w:rPr>
        <w:t xml:space="preserve">MNPB=企业的边际私人净效益</w:t>
      </w:r>
    </w:p>
    <w:p>
      <w:pPr>
        <w:ind w:left="0" w:right="0" w:firstLine="560"/>
        <w:spacing w:before="450" w:after="450" w:line="312" w:lineRule="auto"/>
      </w:pPr>
      <w:r>
        <w:rPr>
          <w:rFonts w:ascii="宋体" w:hAnsi="宋体" w:eastAsia="宋体" w:cs="宋体"/>
          <w:color w:val="000"/>
          <w:sz w:val="28"/>
          <w:szCs w:val="28"/>
        </w:rPr>
        <w:t xml:space="preserve">MEC=边际外部成本。 因此，我们不难得到以下结论：</w:t>
      </w:r>
    </w:p>
    <w:p>
      <w:pPr>
        <w:ind w:left="0" w:right="0" w:firstLine="560"/>
        <w:spacing w:before="450" w:after="450" w:line="312" w:lineRule="auto"/>
      </w:pPr>
      <w:r>
        <w:rPr>
          <w:rFonts w:ascii="宋体" w:hAnsi="宋体" w:eastAsia="宋体" w:cs="宋体"/>
          <w:color w:val="000"/>
          <w:sz w:val="28"/>
          <w:szCs w:val="28"/>
        </w:rPr>
        <w:t xml:space="preserve">I.通过征收庇古税。以实现一般均衡体系的最优状态；</w:t>
      </w:r>
    </w:p>
    <w:p>
      <w:pPr>
        <w:ind w:left="0" w:right="0" w:firstLine="560"/>
        <w:spacing w:before="450" w:after="450" w:line="312" w:lineRule="auto"/>
      </w:pPr>
      <w:r>
        <w:rPr>
          <w:rFonts w:ascii="宋体" w:hAnsi="宋体" w:eastAsia="宋体" w:cs="宋体"/>
          <w:color w:val="000"/>
          <w:sz w:val="28"/>
          <w:szCs w:val="28"/>
        </w:rPr>
        <w:t xml:space="preserve">Ⅱ.统一税率。取决于污染的边际损失，与企业排污边际收益和边际控制无关；</w:t>
      </w:r>
    </w:p>
    <w:p>
      <w:pPr>
        <w:ind w:left="0" w:right="0" w:firstLine="560"/>
        <w:spacing w:before="450" w:after="450" w:line="312" w:lineRule="auto"/>
      </w:pPr>
      <w:r>
        <w:rPr>
          <w:rFonts w:ascii="宋体" w:hAnsi="宋体" w:eastAsia="宋体" w:cs="宋体"/>
          <w:color w:val="000"/>
          <w:sz w:val="28"/>
          <w:szCs w:val="28"/>
        </w:rPr>
        <w:t xml:space="preserve">Ⅲ.污染税应对排污量征收，与企业产品产量无关（陈迎，1999）。征收碳税的目的在于校正市场失灵带来的效率损失。以实现资源的优化配置。庇古税通过政府采用经济手段从宏观上对市场进行干预，虽然政府并没有直接对环境加以管制，但在一些经济学家看来这也是多余的，因为他们认为市场理性完全可以自行克眼环境与资源问题。市场价格机制及技术进步即可改善资源的配置效率。他们并不否认，公共资源问题上存在市场失灵问题，但这完全可以通过明晰产权关系来加以解决。当产权界定明确，而又有了适当的价格而非采取补贴的形式时，环境恶化的问题就能得到解决（Anderson and leaf，1991）这种通过生态私有化，使环境与生态是资源融入经济体系，通过自由市场来管理公共资源的方式，被称之为“自由市场环境主义”（Free Market Enviromentalism）。这一看法。更多地强调了市场效率配置有利的一面，其论述中采用的经验数据是带有市场偏好倾向的，个中的偏颇和缺失显然是难以避免的。他们无疑忽略了一个问题，然而又是十分重要的问题，大气是全体人类共有的资源，其产权的界定是相当困难的。所以，Fisher认为。我们不能用产权界定的方式来代替庇古税（1981），在温室气体排放问题上。碳税有可能不是最好的但却是比较有效的方式。庇古税较之产权界定虽然存在管理成本但不存在交易成本，更何况庇古税虽说是政府的干预，但这种干预是一种宏观干预，而非指令与控制式的干预。同样是市场经济条件下，其于经济激励实现环境优化管理的一种政策工具。而且，不容忽视的是，完全采用产权明晰化的方式。只能在极端的条件下达到最优排污量。不过，有必要指出的是，在总排放上限确定的情况下，通过分配排放权和排放权的贸易制度。在理想的状况下，也可以采用产权管理途径。实现外部成本的内部化。</w:t>
      </w:r>
    </w:p>
    <w:p>
      <w:pPr>
        <w:ind w:left="0" w:right="0" w:firstLine="560"/>
        <w:spacing w:before="450" w:after="450" w:line="312" w:lineRule="auto"/>
      </w:pPr>
      <w:r>
        <w:rPr>
          <w:rFonts w:ascii="宋体" w:hAnsi="宋体" w:eastAsia="宋体" w:cs="宋体"/>
          <w:color w:val="000"/>
          <w:sz w:val="28"/>
          <w:szCs w:val="28"/>
        </w:rPr>
        <w:t xml:space="preserve">优美的“庇古税”在应用上的局限性</w:t>
      </w:r>
    </w:p>
    <w:p>
      <w:pPr>
        <w:ind w:left="0" w:right="0" w:firstLine="560"/>
        <w:spacing w:before="450" w:after="450" w:line="312" w:lineRule="auto"/>
      </w:pPr>
      <w:r>
        <w:rPr>
          <w:rFonts w:ascii="宋体" w:hAnsi="宋体" w:eastAsia="宋体" w:cs="宋体"/>
          <w:color w:val="000"/>
          <w:sz w:val="28"/>
          <w:szCs w:val="28"/>
        </w:rPr>
        <w:t xml:space="preserve">从理论上说，庇古税是优美的，但在具体实施中，却横阻着一道道的难题。其中，信息不对称问题应为诸多难题中的难中之难。</w:t>
      </w:r>
    </w:p>
    <w:p>
      <w:pPr>
        <w:ind w:left="0" w:right="0" w:firstLine="560"/>
        <w:spacing w:before="450" w:after="450" w:line="312" w:lineRule="auto"/>
      </w:pPr>
      <w:r>
        <w:rPr>
          <w:rFonts w:ascii="宋体" w:hAnsi="宋体" w:eastAsia="宋体" w:cs="宋体"/>
          <w:color w:val="000"/>
          <w:sz w:val="28"/>
          <w:szCs w:val="28"/>
        </w:rPr>
        <w:t xml:space="preserve">信息不充分使得最优税率的确定遇到很大的团难，这样就有可能使我们所确定的税率并非帕累托最优。实行庇古税就是要解决外部成本内部化问题，这就需要准确地知道边际外部成本（MEC）和企业的边际私人净效益（MNPB），以此作为制订最优庇古税的依据。这里，边际外部成本的确定尤为重要，它是制订庇古税的前提条件。所谓边际外部成本，实际上是指受害者的边际福利的损失，这样一来，确定边际外部成本就需要从污染的物理性损害转换到人们对损害的反应和感受。并且要以货币形式来加以计量。这一复杂的过程，在理论上称其为“剂量——反应”关系（doseresponse relationship）。在张帆（1998）看来，这一过程包括以下几个环节的转换：产品生产→生产过程产生污染的剂量→污染手在环境中的长期积聚→环境中污染物的暴露→由暴露所带来的损害→损害的货币成本。 再者，在市场经济条件下，并不存在企业向政府如实报告其私人成本和效益的激励机制。这就需要由政府对企业的排放量进行经常性的定期监测，其工作量无疑是巨大的，有可能使得碳税的征管成本大到得不偿失的地步。</w:t>
      </w:r>
    </w:p>
    <w:p>
      <w:pPr>
        <w:ind w:left="0" w:right="0" w:firstLine="560"/>
        <w:spacing w:before="450" w:after="450" w:line="312" w:lineRule="auto"/>
      </w:pPr>
      <w:r>
        <w:rPr>
          <w:rFonts w:ascii="宋体" w:hAnsi="宋体" w:eastAsia="宋体" w:cs="宋体"/>
          <w:color w:val="000"/>
          <w:sz w:val="28"/>
          <w:szCs w:val="28"/>
        </w:rPr>
        <w:t xml:space="preserve">还有，征收碳税不致成为控制企业进入的障碍，尤其在经济处于上升期的扩张阶段，新企业的进入，必然会增加排放总量，使边际损失加大。同时，在通货膨胀的情况下，统一税率的作用也会相应弱化（Davicl，1973）。而且，征收碳税必然会给不同的利益集团带来不同的影胸，利益的不平衡会相应影响社会公平问题。Symons（1994）和Smith（1994）从不同角度分析和探讨了碳税对不同收入阶层的影响，多数分析结果认力，相对高收入家庭而言，低收入家庭用于燃料的支出比重较大，因而会由于碳税的征收遭受较大的损失。当然也有学者对此提出不同的看法。征收破税还将给一些产业带来较大的影响，所以欧美国家的工商界要求政府对脆弱工业部门，如煤炭工业实行免税措施。</w:t>
      </w:r>
    </w:p>
    <w:p>
      <w:pPr>
        <w:ind w:left="0" w:right="0" w:firstLine="560"/>
        <w:spacing w:before="450" w:after="450" w:line="312" w:lineRule="auto"/>
      </w:pPr>
      <w:r>
        <w:rPr>
          <w:rFonts w:ascii="宋体" w:hAnsi="宋体" w:eastAsia="宋体" w:cs="宋体"/>
          <w:color w:val="000"/>
          <w:sz w:val="28"/>
          <w:szCs w:val="28"/>
        </w:rPr>
        <w:t xml:space="preserve">庇古税局限性的存在是必然的，问题在于我们如何理解和实施。更何况，这个世界并不存在没有缺陷的事物，追求彻底的完美有可能是一个认识的误区。倘若，我们不是要求信息的绝对准确（这在现实中也是不可能的），信息问题并不是一个绝对的障碍。至于征税中所产生的一些负面影响，则取决于政府税制设计的具体思路。无论如何，在存在外部放应的情况下，市场均衡偏离帕累托最优，为达到帕累托最优，向温室气体排放者征收碳税，使外部成本内部化，不失为解决大气污染问题的重要途径之一。 最后，还有必要指出的是，由于气候变化是全球环境问题，其外部性是全球外部性，各个国家相当于一个个企业，其损失是全球性的，所以，在严格意义上，讨论这一问题相对应的应是国际屋次上的碳税问题，仅从一国角度是无法真正达到帕累托最优的。然而，我们所面对的现实是目前国际上并不存在一个世界政府，因此．碳税又主要在国内层面上讨论。对此，OECD成员国中，一些已经开征碳税的国家，一直在呼吁开展必要的国际合作措施，通过国际合作联合应用碳税。</w:t>
      </w:r>
    </w:p>
    <w:p>
      <w:pPr>
        <w:ind w:left="0" w:right="0" w:firstLine="560"/>
        <w:spacing w:before="450" w:after="450" w:line="312" w:lineRule="auto"/>
      </w:pPr>
      <w:r>
        <w:rPr>
          <w:rFonts w:ascii="宋体" w:hAnsi="宋体" w:eastAsia="宋体" w:cs="宋体"/>
          <w:color w:val="000"/>
          <w:sz w:val="28"/>
          <w:szCs w:val="28"/>
        </w:rPr>
        <w:t xml:space="preserve">①附件1国家指“柏林契约”中据共同的但有区别的责任中所规定的发达和转轨种国家应首先承担减排义务的国家。</w:t>
      </w:r>
    </w:p>
    <w:p>
      <w:pPr>
        <w:ind w:left="0" w:right="0" w:firstLine="560"/>
        <w:spacing w:before="450" w:after="450" w:line="312" w:lineRule="auto"/>
      </w:pPr>
      <w:r>
        <w:rPr>
          <w:rFonts w:ascii="宋体" w:hAnsi="宋体" w:eastAsia="宋体" w:cs="宋体"/>
          <w:color w:val="000"/>
          <w:sz w:val="28"/>
          <w:szCs w:val="28"/>
        </w:rPr>
        <w:t xml:space="preserve">作者单位：中国社会科学院世界经济与政治研究所</w:t>
      </w:r>
    </w:p>
    <w:p>
      <w:pPr>
        <w:ind w:left="0" w:right="0" w:firstLine="560"/>
        <w:spacing w:before="450" w:after="450" w:line="312" w:lineRule="auto"/>
      </w:pPr>
      <w:r>
        <w:rPr>
          <w:rFonts w:ascii="宋体" w:hAnsi="宋体" w:eastAsia="宋体" w:cs="宋体"/>
          <w:color w:val="000"/>
          <w:sz w:val="28"/>
          <w:szCs w:val="28"/>
        </w:rPr>
        <w:t xml:space="preserve">来源:涉外税务1999.10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2025-07-22T13:25:57+08:00</dcterms:created>
  <dcterms:modified xsi:type="dcterms:W3CDTF">2025-07-22T13:25:57+08:00</dcterms:modified>
</cp:coreProperties>
</file>

<file path=docProps/custom.xml><?xml version="1.0" encoding="utf-8"?>
<Properties xmlns="http://schemas.openxmlformats.org/officeDocument/2006/custom-properties" xmlns:vt="http://schemas.openxmlformats.org/officeDocument/2006/docPropsVTypes"/>
</file>