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财政下的房地产市场调控</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摘要:商品房作为兼具经济属性与社会属性的特殊商品，其价格波动情况不仅体现了房地产市场的价值规律，更深层次反映为政府与市场的关系问题。本文根据现阶段房地产行业存在的“调控失效”“高房价”等问题，从分税制财税体制、地方政府“土地财政”、城乡二...</w:t>
      </w:r>
    </w:p>
    <w:p>
      <w:pPr>
        <w:ind w:left="0" w:right="0" w:firstLine="560"/>
        <w:spacing w:before="450" w:after="450" w:line="312" w:lineRule="auto"/>
      </w:pPr>
      <w:r>
        <w:rPr>
          <w:rFonts w:ascii="宋体" w:hAnsi="宋体" w:eastAsia="宋体" w:cs="宋体"/>
          <w:color w:val="000"/>
          <w:sz w:val="28"/>
          <w:szCs w:val="28"/>
        </w:rPr>
        <w:t xml:space="preserve">&gt;摘要:商品房作为兼具经济属性与社会属性的特殊商品，其价格波动情况不仅体现了房地产市场的价值规律，更深层次反映为政府与市场的关系问题。本文根据现阶段房地产行业存在的“调控失效”“高房价”等问题，从分税制财税体制、地方政府“土地财政”、城乡二元土地管理机制、社会保障房制度等财政视角进行成因剖析，进而针对房地产行业面临的问题提出具体的政策建议，并希望本文的研究能够为解决现阶段房价高成本、土地供需矛盾、房地产行业调控政策效果受限等难题提供参考价值。</w:t>
      </w:r>
    </w:p>
    <w:p>
      <w:pPr>
        <w:ind w:left="0" w:right="0" w:firstLine="560"/>
        <w:spacing w:before="450" w:after="450" w:line="312" w:lineRule="auto"/>
      </w:pPr>
      <w:r>
        <w:rPr>
          <w:rFonts w:ascii="宋体" w:hAnsi="宋体" w:eastAsia="宋体" w:cs="宋体"/>
          <w:color w:val="000"/>
          <w:sz w:val="28"/>
          <w:szCs w:val="28"/>
        </w:rPr>
        <w:t xml:space="preserve">&gt;关键词:房地产行业;分税制财税制度;土地财政;城乡二元土地格局</w:t>
      </w:r>
    </w:p>
    <w:p>
      <w:pPr>
        <w:ind w:left="0" w:right="0" w:firstLine="560"/>
        <w:spacing w:before="450" w:after="450" w:line="312" w:lineRule="auto"/>
      </w:pPr>
      <w:r>
        <w:rPr>
          <w:rFonts w:ascii="宋体" w:hAnsi="宋体" w:eastAsia="宋体" w:cs="宋体"/>
          <w:color w:val="000"/>
          <w:sz w:val="28"/>
          <w:szCs w:val="28"/>
        </w:rPr>
        <w:t xml:space="preserve">近些年房价的不断“创新高”，成为社会民众关注的重大问题，房价问题事关我国经济发展方式的转型、构建和谐社会等重大问题。然而，房地产市场所销售的是兼具消费属性与投资属性，经济属性与社会属性的特殊商品，这也决定了房价的问题不仅仅是房地产行业的市场内在问题，更与国家宏观调控机制，中央与地方政府财政制度，土地制度等息息相关，更深层次地反映为政府与市场的关系问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一、财政视角下房地产行业的现状</w:t>
      </w:r>
    </w:p>
    <w:p>
      <w:pPr>
        <w:ind w:left="0" w:right="0" w:firstLine="560"/>
        <w:spacing w:before="450" w:after="450" w:line="312" w:lineRule="auto"/>
      </w:pPr>
      <w:r>
        <w:rPr>
          <w:rFonts w:ascii="宋体" w:hAnsi="宋体" w:eastAsia="宋体" w:cs="宋体"/>
          <w:color w:val="000"/>
          <w:sz w:val="28"/>
          <w:szCs w:val="28"/>
        </w:rPr>
        <w:t xml:space="preserve">狭义上的“土地财政”仅仅指政府的土地出让收入，土地出让金对于弥补地方公共财政收入不足，增强地方财力以实现地方政府职能起到保障性作用。房地产行业与房产有关的税费对地方财政资金的支持力度不及土地出让金收入的支持力度。在现行市场中土地使用权通过招拍挂制度出让，一定程度上压缩了开发商的“寻租”空间，促进了土地交易中的市场化定价机制。但是，由于地方政府在土地管理与经营中扮演着双重角色，其凭借垄断地位掌控了土地的出让价格，开发商的议价能力受限，高额的土地出让金转化为房地产开发商的开发成本，最终买单的还是普通的购房者。地方政府对土地财政的依赖导致了土地价格带动房价，房价反作用于地价的循环怪圈。近年来，一系列房市调控政策的执行虽有一定效果，但并未达到控制房价上涨，消除房地产泡沫，促进房地产行业健康发展以及满足广大居民住房需求的目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二、财政视角下高房价背后的成因分析</w:t>
      </w:r>
    </w:p>
    <w:p>
      <w:pPr>
        <w:ind w:left="0" w:right="0" w:firstLine="560"/>
        <w:spacing w:before="450" w:after="450" w:line="312" w:lineRule="auto"/>
      </w:pPr>
      <w:r>
        <w:rPr>
          <w:rFonts w:ascii="宋体" w:hAnsi="宋体" w:eastAsia="宋体" w:cs="宋体"/>
          <w:color w:val="000"/>
          <w:sz w:val="28"/>
          <w:szCs w:val="28"/>
        </w:rPr>
        <w:t xml:space="preserve">(一)“土地财政”是推动高房价的源头土地财政是地方政府实现提供公共服务职能的重要财力来源，然而其又成为推动地方房价上涨的直接原因，违背了地方政府的履职初衷。土地财政所处的“尴尬”根本上源自分税制改革导致的财政管理体制缺陷以及地方政府在土地管理和经营中的角色定位等方面的原因。1．分税制财政管理体制下“明确的财权与模糊的事权”不平衡机制是根本原因为了解决中央集权与地方分权的关系问题以及理顺中央和地方的财权与事权分配的关系，我国于1994年开始实施了分税制财政管理体制，其实质在于促使中央与地方财政自收自支，通过划分税权实现分级管理。其中税源大而集中的税种一般划入中央税，税源分散、收入零星、涉及面广的税种一般划入地方税。然而地方政府事权的界定却很模糊，缺乏明确而正式的划分，导致中央与地方事权的重复或者错位现象的存在。由于地方事权与财权的不匹配，地方政府在社会保障、医疗卫生、保障性住房领域的资金压力巨大。2．地方政府在土地管理与经营中的双重身份是诱导因素目前，我国《土地管理法》划分了地方政府在土地管理与土地经营中担任的角色，地方政府不仅是土地管理政策的执行者，同时担任了土地经营制度的实践者。虽然从节约管理成本以及地方政府具备地域优势的角度考虑，地方政府的双重角色具有一定的合理性。但是该双重角色定位导致了在地方土地管理与经营的过程中权力制衡机制的缺失，促使地方政府在土地市场上占据了垄断地位。为了获取土地出让金收入以满足地方事务的财政支出需求，在土地管理工作中地方政府“维护公共利益与长远利益”的职责被迫让位于“眼前利益”。</w:t>
      </w:r>
    </w:p>
    <w:p>
      <w:pPr>
        <w:ind w:left="0" w:right="0" w:firstLine="560"/>
        <w:spacing w:before="450" w:after="450" w:line="312" w:lineRule="auto"/>
      </w:pPr>
      <w:r>
        <w:rPr>
          <w:rFonts w:ascii="宋体" w:hAnsi="宋体" w:eastAsia="宋体" w:cs="宋体"/>
          <w:color w:val="000"/>
          <w:sz w:val="28"/>
          <w:szCs w:val="28"/>
        </w:rPr>
        <w:t xml:space="preserve">(二)土地供给不足导致的供需矛盾成为房价高成本的客观原因土地资源原本就具有稀缺性特点，加之地方土地用于公共基础设施建设、城市建设以及社会保障性住房建设的规划，致使土地供给量难以达到地方房地产业开发的用地需求量。同时，我国城乡二元土地管理体制的存在也压缩了地方非农业用地的供给空间。根据《土地管理法》《城市房地产管理法》相关规定，农村建设用地上市流转的唯一渠道就是国家征用后转化为国有土地。然而地方政府在此过程中担任了双重角色，集征地工作的决定者和征地补偿制度的制定者于一身。在国家征用产权不清晰的农村建设用地的过程中，地方政府掌握了议价权，通过非公允价格获得土地后，在土地市场供需不平衡的刺激下出让土地赚取高额买卖价差。</w:t>
      </w:r>
    </w:p>
    <w:p>
      <w:pPr>
        <w:ind w:left="0" w:right="0" w:firstLine="560"/>
        <w:spacing w:before="450" w:after="450" w:line="312" w:lineRule="auto"/>
      </w:pPr>
      <w:r>
        <w:rPr>
          <w:rFonts w:ascii="宋体" w:hAnsi="宋体" w:eastAsia="宋体" w:cs="宋体"/>
          <w:color w:val="000"/>
          <w:sz w:val="28"/>
          <w:szCs w:val="28"/>
        </w:rPr>
        <w:t xml:space="preserve">(三)社会保障房政策执行效果不佳成为削弱房价调控的现实原因保障性安居工程建设作为推动地方城镇化建设，缓解中低收入家庭住房困难的重大民生工程。虽然其在缓和房地产市场供需矛盾以及抑制房价上涨方面具有积极的调节作用，但是目前地方保障房政策执行力度不佳导致保障房对于房地产市场的房价调控作用并不显著。首先，地方保障性安居工程建设的用地需求会挤占部分原本用于普通商品房开发出让的土地，对地方政府的土地出让金收入造成冲击，所以地方政府在执行保障房政策时，经常会将保障性住房的选址定在地段不佳的乡镇地区或郊区，难以发挥保障房的房价调控作用。其次，保障性住房建设需要相对完善的配套基础设施投入，在中央保障性住房财政支出有限的情况下，进一步加剧了地方政府对土地财政的依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三、从财政视角调控房地产市场的政策建议</w:t>
      </w:r>
    </w:p>
    <w:p>
      <w:pPr>
        <w:ind w:left="0" w:right="0" w:firstLine="560"/>
        <w:spacing w:before="450" w:after="450" w:line="312" w:lineRule="auto"/>
      </w:pPr>
      <w:r>
        <w:rPr>
          <w:rFonts w:ascii="宋体" w:hAnsi="宋体" w:eastAsia="宋体" w:cs="宋体"/>
          <w:color w:val="000"/>
          <w:sz w:val="28"/>
          <w:szCs w:val="28"/>
        </w:rPr>
        <w:t xml:space="preserve">(一)深化改革“分税制”财税制度，进一步完善中央对地方的转移支付制度土地财政对地方房价的推波助澜作用，归根溯源在于地方政府财权与事权的不匹配。目前，我国中央对地方的转移支付包括财力性转移支付和专项转移支付，其中由于地方专项拨款项目的重复性，分散性设置以及专项转移资金监管机制的不完善，导致了专项转移支付资金分配不合理，使用效益不佳的情况。伴随着近几年中央转移支付力度的不断加大，如何优化中央转移支付的支出结构，提高转移支付的分配公平性和使用效益，以及明确中央与地方政府相应事权下所对应的财政支付比例才是关键之举。中央应加大对地方转移支付中财力性转移的支付比例，提高地方政府对一般性转移支付因地制宜使用的自主性，促进地方公共服务的均等化。同时，通过开展对地方专项转移支付项目的整合、摸底工作，切实加强对项目资金使用的效益评价与监管工作。</w:t>
      </w:r>
    </w:p>
    <w:p>
      <w:pPr>
        <w:ind w:left="0" w:right="0" w:firstLine="560"/>
        <w:spacing w:before="450" w:after="450" w:line="312" w:lineRule="auto"/>
      </w:pPr>
      <w:r>
        <w:rPr>
          <w:rFonts w:ascii="宋体" w:hAnsi="宋体" w:eastAsia="宋体" w:cs="宋体"/>
          <w:color w:val="000"/>
          <w:sz w:val="28"/>
          <w:szCs w:val="28"/>
        </w:rPr>
        <w:t xml:space="preserve">(二)建立以税收为主体的地方财政收入格局，逐步减少对狭义土地财政的依赖地方公共财政预算收入中与房地产行业相关的税种收入金额并没有形成地方财税体制的主体税种，远不及地方土地出让金收入对地方财政的贡献度。但是土地作为稀缺的有限资源，以土地出让金收入为主的土地财政既不利于地方财政收入的稳定性与可持续性，又有违代际公平性。所以，地方政府应当走“以财产税收入为土地财政主体，逐步减少对土地出让金收入的依赖程度”的改革之路。扩大房产税开征试点是未来财税体制改革的必然之举，从房产税开征试点的实施效果来看，虽然房产税在调节收入再分配，缓解初次分配不均衡问题方面，以及增加房地产的投资、投机性成本，一定程度上抑制房产投资者的投资需求方面起到了有限的调控作用，但是对于遏制房价上涨的效果并不显著。无论是对存量住房还是对增量住房开征，在土地出让金收入抬高房价成本的前提下，税收通过转嫁，最终无疑是又推高了房价。所以，建立以税收为主体的财税收入格局，必须先解决本质问题，下一步房产税制度如何制定，开征范围如何，将是一个循序渐进的过程。</w:t>
      </w:r>
    </w:p>
    <w:p>
      <w:pPr>
        <w:ind w:left="0" w:right="0" w:firstLine="560"/>
        <w:spacing w:before="450" w:after="450" w:line="312" w:lineRule="auto"/>
      </w:pPr>
      <w:r>
        <w:rPr>
          <w:rFonts w:ascii="宋体" w:hAnsi="宋体" w:eastAsia="宋体" w:cs="宋体"/>
          <w:color w:val="000"/>
          <w:sz w:val="28"/>
          <w:szCs w:val="28"/>
        </w:rPr>
        <w:t xml:space="preserve">(三)进一步完善土地供给制度，充分发挥市场机制作用我国城乡二元化土地格局，不仅限制了土地市场的供给量，更巩固了地方政府在土地市场中的垄断地位，加之土地征用补偿制度以及监管制度的不完善，容易诱发征用土地价格的不公允以及地方政府与农民之间的矛盾冲突。第十八届三中全会上《中共中央关于全面深化改革若干重大问题的决定》中，就建立城乡统一的建设用地市场做出了突破性尝试，允许农村集体经营性建设用地在符合规划和用途管制的前提下，出让、租赁、入股，实现与国有土地同等入市，同权同价。这一举措有利于丰富土地供应主体，打破地方政府的价格垄断，发挥市场在土地市场供需关系中的自发调节作用。同时，地方政府应通过调整地方用地结构对土地资源进行整合，通过实施“退二进三”项目与“棚户区改造”项目，逐步整合土地资源，有利于增加土地储备，实现土地资源的优化配置。</w:t>
      </w:r>
    </w:p>
    <w:p>
      <w:pPr>
        <w:ind w:left="0" w:right="0" w:firstLine="560"/>
        <w:spacing w:before="450" w:after="450" w:line="312" w:lineRule="auto"/>
      </w:pPr>
      <w:r>
        <w:rPr>
          <w:rFonts w:ascii="宋体" w:hAnsi="宋体" w:eastAsia="宋体" w:cs="宋体"/>
          <w:color w:val="000"/>
          <w:sz w:val="28"/>
          <w:szCs w:val="28"/>
        </w:rPr>
        <w:t xml:space="preserve">(四)切实落实社会保障性住房制度，建立完善的地方政府政绩考核体系社会保障性住房建设对于加强房地产市场调控力度，保障和改善民生具有重大意义。地方政府应切实落实社会保障性住房建设，在土地供应上优先选址，优先供应，加大地方财政住房保障支出力度，进一步完善配套的基础设施建设，严格把关资格审查与分配工作，维护社会保障性住房分配的公正性与公平性原则。若能逐步将社会保障性住房建设相关指标纳入地方政府政绩考核体系中，将有助于进一步加强对社会保障性住房的制度保障，完善地方政府政绩的综合评价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［1］冯靓．“土地财政”对商品房价格变动的影响研究［D］．上海社会科学院，202_．</w:t>
      </w:r>
    </w:p>
    <w:p>
      <w:pPr>
        <w:ind w:left="0" w:right="0" w:firstLine="560"/>
        <w:spacing w:before="450" w:after="450" w:line="312" w:lineRule="auto"/>
      </w:pPr>
      <w:r>
        <w:rPr>
          <w:rFonts w:ascii="宋体" w:hAnsi="宋体" w:eastAsia="宋体" w:cs="宋体"/>
          <w:color w:val="000"/>
          <w:sz w:val="28"/>
          <w:szCs w:val="28"/>
        </w:rPr>
        <w:t xml:space="preserve">［2］李一花，化兵．财政赤字、土地财政与房价的关系研究［J］．中央财经大学学报，202_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［3］姚青，雍新琴，舒帮荣．经济增长与住房价格互动关系异质性研究:基于不同区域及城市分异的双重视角［J］．国土与自然资源研究，202_</w:t>
      </w:r>
    </w:p>
    <w:p>
      <w:pPr>
        <w:ind w:left="0" w:right="0" w:firstLine="560"/>
        <w:spacing w:before="450" w:after="450" w:line="312" w:lineRule="auto"/>
      </w:pPr>
      <w:r>
        <w:rPr>
          <w:rFonts w:ascii="宋体" w:hAnsi="宋体" w:eastAsia="宋体" w:cs="宋体"/>
          <w:color w:val="000"/>
          <w:sz w:val="28"/>
          <w:szCs w:val="28"/>
        </w:rPr>
        <w:t xml:space="preserve">(1):62－66．</w:t>
      </w:r>
    </w:p>
    <w:p>
      <w:pPr>
        <w:ind w:left="0" w:right="0" w:firstLine="560"/>
        <w:spacing w:before="450" w:after="450" w:line="312" w:lineRule="auto"/>
      </w:pPr>
      <w:r>
        <w:rPr>
          <w:rFonts w:ascii="宋体" w:hAnsi="宋体" w:eastAsia="宋体" w:cs="宋体"/>
          <w:color w:val="000"/>
          <w:sz w:val="28"/>
          <w:szCs w:val="28"/>
        </w:rPr>
        <w:t xml:space="preserve">［4］杨蕙馨，王继东，徐召红．横向并购:我国房地产业集中度演变与发展路径研究［J］．经济学动态，202_，</w:t>
      </w:r>
    </w:p>
    <w:p>
      <w:pPr>
        <w:ind w:left="0" w:right="0" w:firstLine="560"/>
        <w:spacing w:before="450" w:after="450" w:line="312" w:lineRule="auto"/>
      </w:pPr>
      <w:r>
        <w:rPr>
          <w:rFonts w:ascii="宋体" w:hAnsi="宋体" w:eastAsia="宋体" w:cs="宋体"/>
          <w:color w:val="000"/>
          <w:sz w:val="28"/>
          <w:szCs w:val="28"/>
        </w:rPr>
        <w:t xml:space="preserve">(4):19－26．</w:t>
      </w:r>
    </w:p>
    <w:p>
      <w:pPr>
        <w:ind w:left="0" w:right="0" w:firstLine="560"/>
        <w:spacing w:before="450" w:after="450" w:line="312" w:lineRule="auto"/>
      </w:pPr>
      <w:r>
        <w:rPr>
          <w:rFonts w:ascii="宋体" w:hAnsi="宋体" w:eastAsia="宋体" w:cs="宋体"/>
          <w:color w:val="000"/>
          <w:sz w:val="28"/>
          <w:szCs w:val="28"/>
        </w:rPr>
        <w:t xml:space="preserve">［5］卢洪友，袁光平，陈思霞，等．土地财政根源:“竞争冲动”还是“无奈之举”?———来自中国地市的经验证据［J］．经济社会体制比较，202_</w:t>
      </w:r>
    </w:p>
    <w:p>
      <w:pPr>
        <w:ind w:left="0" w:right="0" w:firstLine="560"/>
        <w:spacing w:before="450" w:after="450" w:line="312" w:lineRule="auto"/>
      </w:pPr>
      <w:r>
        <w:rPr>
          <w:rFonts w:ascii="宋体" w:hAnsi="宋体" w:eastAsia="宋体" w:cs="宋体"/>
          <w:color w:val="000"/>
          <w:sz w:val="28"/>
          <w:szCs w:val="28"/>
        </w:rPr>
        <w:t xml:space="preserve">(1):88－89．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2025-06-15T21:37:51+08:00</dcterms:created>
  <dcterms:modified xsi:type="dcterms:W3CDTF">2025-06-15T21:37:51+08:00</dcterms:modified>
</cp:coreProperties>
</file>

<file path=docProps/custom.xml><?xml version="1.0" encoding="utf-8"?>
<Properties xmlns="http://schemas.openxmlformats.org/officeDocument/2006/custom-properties" xmlns:vt="http://schemas.openxmlformats.org/officeDocument/2006/docPropsVTypes"/>
</file>