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货币政策财政政策论文</w:t>
      </w:r>
      <w:bookmarkEnd w:id="1"/>
    </w:p>
    <w:p>
      <w:pPr>
        <w:jc w:val="center"/>
        <w:spacing w:before="0" w:after="450"/>
      </w:pPr>
      <w:r>
        <w:rPr>
          <w:rFonts w:ascii="Arial" w:hAnsi="Arial" w:eastAsia="Arial" w:cs="Arial"/>
          <w:color w:val="999999"/>
          <w:sz w:val="20"/>
          <w:szCs w:val="20"/>
        </w:rPr>
        <w:t xml:space="preserve">来源：网络  作者：静水流深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gt;一、变量选取及数据处理因为中国财政政策对不同地区的经济具有不亚于货币政策的影响，故而本文在构建VAR模型的时候，同时采用了货币政策、财政政策、区域经济和区域物价水平等四个变量进行分析；并将样本区间设定为1979-202_年。在变量选取上，...</w:t>
      </w:r>
    </w:p>
    <w:p>
      <w:pPr>
        <w:ind w:left="0" w:right="0" w:firstLine="560"/>
        <w:spacing w:before="450" w:after="450" w:line="312" w:lineRule="auto"/>
      </w:pPr>
      <w:r>
        <w:rPr>
          <w:rFonts w:ascii="宋体" w:hAnsi="宋体" w:eastAsia="宋体" w:cs="宋体"/>
          <w:color w:val="000"/>
          <w:sz w:val="28"/>
          <w:szCs w:val="28"/>
        </w:rPr>
        <w:t xml:space="preserve">&gt;一、变量选取及数据处理</w:t>
      </w:r>
    </w:p>
    <w:p>
      <w:pPr>
        <w:ind w:left="0" w:right="0" w:firstLine="560"/>
        <w:spacing w:before="450" w:after="450" w:line="312" w:lineRule="auto"/>
      </w:pPr>
      <w:r>
        <w:rPr>
          <w:rFonts w:ascii="宋体" w:hAnsi="宋体" w:eastAsia="宋体" w:cs="宋体"/>
          <w:color w:val="000"/>
          <w:sz w:val="28"/>
          <w:szCs w:val="28"/>
        </w:rPr>
        <w:t xml:space="preserve">因为中国财政政策对不同地区的经济具有不亚于货币政策的影响，故而本文在构建VAR模型的时候，同时采用了货币政策、财政政策、区域经济和区域物价水平等四个变量进行分析；并将样本区间设定为1979-202_年。在变量选取上，可以从金融机构贷款额、M0、M1、M2、拆借利率等货币政策工具中选取适合中国的货币政策变量。基于中国货币政策的实践经验以及数据的可得性，选取M1为货币政策变量。由于M1数据从1990年才开始公布，故而1979年至1989年的相关数据由M0代替。财政政策变量用中央政府财政支出增长率数据表示，并利用HP滤波处理之后得到的周期（Cycle）部分代替。由于货币、财政政策的目标为经济增长和物价稳定，所以用全国GDP和商品价格指数以及各省市GDP和商品价格指数作为货币、财政政策的最终目标变量。考虑到数据的可得性，选取1979-202_年的全国GDP、CPI、商品价格指数及M1、中央政府财政支出、人口数等全国年度数据；选取各省区的GDP商品价格指数、人口数等地区年度数据。GDP等样本数据来自《中国统计年鉴》、《新中国60年统计资料汇编》、中经网统计数据库。对相关变量进行如下处理：首先，利用1978年为基年的定基比商品价格指数作为物价指数，将M1、省区GDP、中央政府财政支出变换为实际值。其中对区域GDP数据取自然对数并求一阶差分，以得到平稳序列。为了剔除因人口增长快慢而扭曲的货币政策对区域经济的影响，以各省区的人均GDP作为区域经济变量数据2。其次，与大部分研究直接得到各省区物价指数的平均值不同，我们以各个地区的实际生产总值占四大地区的实际国内生产总值总和的比重为权重，计算得到加权平均后的各省市商品价格指数（以商品价格指数1978=100为基准来求实际值）。这一做法提高了物价指数的精确度。最后，对各变量的实际值进行平稳化处理。</w:t>
      </w:r>
    </w:p>
    <w:p>
      <w:pPr>
        <w:ind w:left="0" w:right="0" w:firstLine="560"/>
        <w:spacing w:before="450" w:after="450" w:line="312" w:lineRule="auto"/>
      </w:pPr>
      <w:r>
        <w:rPr>
          <w:rFonts w:ascii="宋体" w:hAnsi="宋体" w:eastAsia="宋体" w:cs="宋体"/>
          <w:color w:val="000"/>
          <w:sz w:val="28"/>
          <w:szCs w:val="28"/>
        </w:rPr>
        <w:t xml:space="preserve">&gt;二、平稳性和协整检验及格兰杰因果关系</w:t>
      </w:r>
    </w:p>
    <w:p>
      <w:pPr>
        <w:ind w:left="0" w:right="0" w:firstLine="560"/>
        <w:spacing w:before="450" w:after="450" w:line="312" w:lineRule="auto"/>
      </w:pPr>
      <w:r>
        <w:rPr>
          <w:rFonts w:ascii="宋体" w:hAnsi="宋体" w:eastAsia="宋体" w:cs="宋体"/>
          <w:color w:val="000"/>
          <w:sz w:val="28"/>
          <w:szCs w:val="28"/>
        </w:rPr>
        <w:t xml:space="preserve">（一）平稳性检验</w:t>
      </w:r>
    </w:p>
    <w:p>
      <w:pPr>
        <w:ind w:left="0" w:right="0" w:firstLine="560"/>
        <w:spacing w:before="450" w:after="450" w:line="312" w:lineRule="auto"/>
      </w:pPr>
      <w:r>
        <w:rPr>
          <w:rFonts w:ascii="宋体" w:hAnsi="宋体" w:eastAsia="宋体" w:cs="宋体"/>
          <w:color w:val="000"/>
          <w:sz w:val="28"/>
          <w:szCs w:val="28"/>
        </w:rPr>
        <w:t xml:space="preserve">利用VAR模型做格兰杰（Granger）因果检验以及脉冲响应分析需满足序列平稳性条件，故利用ADF单位根分析检验各序列的平稳性。的单位根检验表明，财政政策变量（CZ）、货币政策变量、四大地区物价变量（SI_PR_DONG、SI_PR_DONGBEI、SI_PR_ZHONG、SI_PR_XI）、以及四大地区产出变量（SI_GR_DONG、SI_GR_DONGBEI、SI_GR_ZHONG、SI_GR_XI）取自然对数后的一阶差分值满足平稳性条件，且是一阶单整的</w:t>
      </w:r>
    </w:p>
    <w:p>
      <w:pPr>
        <w:ind w:left="0" w:right="0" w:firstLine="560"/>
        <w:spacing w:before="450" w:after="450" w:line="312" w:lineRule="auto"/>
      </w:pPr>
      <w:r>
        <w:rPr>
          <w:rFonts w:ascii="宋体" w:hAnsi="宋体" w:eastAsia="宋体" w:cs="宋体"/>
          <w:color w:val="000"/>
          <w:sz w:val="28"/>
          <w:szCs w:val="28"/>
        </w:rPr>
        <w:t xml:space="preserve">（二）协整检验</w:t>
      </w:r>
    </w:p>
    <w:p>
      <w:pPr>
        <w:ind w:left="0" w:right="0" w:firstLine="560"/>
        <w:spacing w:before="450" w:after="450" w:line="312" w:lineRule="auto"/>
      </w:pPr>
      <w:r>
        <w:rPr>
          <w:rFonts w:ascii="宋体" w:hAnsi="宋体" w:eastAsia="宋体" w:cs="宋体"/>
          <w:color w:val="000"/>
          <w:sz w:val="28"/>
          <w:szCs w:val="28"/>
        </w:rPr>
        <w:t xml:space="preserve">结合单位根检验和各个变量的图示，确定协整分析的常数项和时间趋势项；并利用AIC或SC最小准则确定最佳滞后阶数，对各变量进行协整分析。说明，经过对数变换后的地区人均GDP（LNGDP）、物价水平、货币和财政变量间只存在一个协整关系。因此初步判断货币、财政政策与产出和物价之间存在长期的稳定关系。</w:t>
      </w:r>
    </w:p>
    <w:p>
      <w:pPr>
        <w:ind w:left="0" w:right="0" w:firstLine="560"/>
        <w:spacing w:before="450" w:after="450" w:line="312" w:lineRule="auto"/>
      </w:pPr>
      <w:r>
        <w:rPr>
          <w:rFonts w:ascii="宋体" w:hAnsi="宋体" w:eastAsia="宋体" w:cs="宋体"/>
          <w:color w:val="000"/>
          <w:sz w:val="28"/>
          <w:szCs w:val="28"/>
        </w:rPr>
        <w:t xml:space="preserve">&gt;三、VAR模型及脉冲响应函数分析</w:t>
      </w:r>
    </w:p>
    <w:p>
      <w:pPr>
        <w:ind w:left="0" w:right="0" w:firstLine="560"/>
        <w:spacing w:before="450" w:after="450" w:line="312" w:lineRule="auto"/>
      </w:pPr>
      <w:r>
        <w:rPr>
          <w:rFonts w:ascii="宋体" w:hAnsi="宋体" w:eastAsia="宋体" w:cs="宋体"/>
          <w:color w:val="000"/>
          <w:sz w:val="28"/>
          <w:szCs w:val="28"/>
        </w:rPr>
        <w:t xml:space="preserve">（一）VAR模型估计结果</w:t>
      </w:r>
    </w:p>
    <w:p>
      <w:pPr>
        <w:ind w:left="0" w:right="0" w:firstLine="560"/>
        <w:spacing w:before="450" w:after="450" w:line="312" w:lineRule="auto"/>
      </w:pPr>
      <w:r>
        <w:rPr>
          <w:rFonts w:ascii="宋体" w:hAnsi="宋体" w:eastAsia="宋体" w:cs="宋体"/>
          <w:color w:val="000"/>
          <w:sz w:val="28"/>
          <w:szCs w:val="28"/>
        </w:rPr>
        <w:t xml:space="preserve">对实证模型的选择，近似主题的文献较多采用VAR、SVAR、VECM等模型做实证分析。虽然这些计量模型均无法准确捕捉改革开放后30年中的区域经济结构与宏观经济政策工具的变迁4，但考虑到研究的可行性以及参照同类文献的做法有利于比较，故本文仍采用VAR模型做实证分析5。利用VAR（k）模型对货币量（M1）、财政支出（CZ）分别与东部、东北部、中部、西部等不同区域的人均GDP及价格指数进行分析。东部、东北部、中部、西部的不同k值采用AIC或SC最小原则确定，分别为3、1、1、1。表4货币量（M1）、财政支出（CZ）与四大区域产出及价格VAR模型估计结果注：估计结果下方的R-Squared值是单个方程的拟合优度。对货币量（M1）、财政支出（CZ）与东部人均GDP（SI_GR_DONG）、价格指数（SI_PR_DONG）四个变量之间的VAR（3）模型估计结果表明，前二个方程拟合优度稍小为0.72，后两个方程的拟合优度均在0.8以上，表明模型能较好解释变量之间的关系。因此本文主要考虑后两个方程的估计结果。货币量（M1）、财政支出（CZ）与东北部人均GDP（SI_GR_DONGBEI）、价格指数（SI_PR_DONGBEI）四个变量之间VAR（1）模型估计结果表明，除了第四个方程拟合优度为0.73之外，其他三个方程的拟合优度均在0.5以下，表明模型解释变量之间的关系比较差。为了分析完整性，对东北、中部以及西部区域也进行脉冲响应分析。货币量（M1）、财政支出（CZ）与中部人均GDP（SI_GR_ZHONG）、价格指数（SI_PR_ZHONG）四个变量之间VAR（1）模型估计结果表明，除了第四个方程拟合优度为0.63之外，其他三个方程的拟合优度均在0.37以下，表明模型解释变量之间的关系比较差。货币量（M1）、财政支出（CZ）与西部人均GDP（SI_GR_XI）、价格指数（SI_PR_XI）四个变量之间VAR（1）模型估计结果表明，除了第四个个方程拟合优度为0.65之外，其他三个方程的拟合优度均在0.33以下，表明模型解释变量之间的关系比较差。不过，VAR模型相对不那么在意拟合度和系数的显著性问题。下面采用脉冲响应函数来描述货币政策与财政政策的冲击，对各区域人均GDP和加权平均的商品零售价格指数造成的动态影响</w:t>
      </w:r>
    </w:p>
    <w:p>
      <w:pPr>
        <w:ind w:left="0" w:right="0" w:firstLine="560"/>
        <w:spacing w:before="450" w:after="450" w:line="312" w:lineRule="auto"/>
      </w:pPr>
      <w:r>
        <w:rPr>
          <w:rFonts w:ascii="宋体" w:hAnsi="宋体" w:eastAsia="宋体" w:cs="宋体"/>
          <w:color w:val="000"/>
          <w:sz w:val="28"/>
          <w:szCs w:val="28"/>
        </w:rPr>
        <w:t xml:space="preserve">（二）脉冲响应函数及累计脉冲响应函数的分析结果</w:t>
      </w:r>
    </w:p>
    <w:p>
      <w:pPr>
        <w:ind w:left="0" w:right="0" w:firstLine="560"/>
        <w:spacing w:before="450" w:after="450" w:line="312" w:lineRule="auto"/>
      </w:pPr>
      <w:r>
        <w:rPr>
          <w:rFonts w:ascii="宋体" w:hAnsi="宋体" w:eastAsia="宋体" w:cs="宋体"/>
          <w:color w:val="000"/>
          <w:sz w:val="28"/>
          <w:szCs w:val="28"/>
        </w:rPr>
        <w:t xml:space="preserve">在各VAR模型中，分别考虑狭义货币供应量（M1）及中央财政支出（CZ）变动在未来10年内对东部、东北部、中部、西部等4大区域人均GDP实际值、关于货币政策区域经济效应，东部、东北部、中部、西部四大区域在经历货币政策冲击之后，在第一年达到最大响应值，分别为0.020272、0.014757、0.014913、0.001565。从大小来看，“东部中部东北部西部”。从区域经济效应累计值来看，货币政策冲击产生后，东部、东北部、中部区域在第二年达到最大累计响应值，而西部则第一年已达到最大累计响应值，分别为0.031895、0.018998、0.022865、0.001565。按累计响应值大小来排序，也得到了“东部中部东北部西部”的类似排序。可见，货币政策区域效应的地区差异性并未随时间而有大的变化。另外，中国货币政策对西部区域几乎不产生影响。这点和Granger因果检验的结果是吻合的。关于货币政策区域物价效应，之前的Granger因果分析表明，在1%显著水平下，M1与中国各个区域的物价之间具有双向因果关系。而从脉冲响应分析结果来看，四大区域均在第二年达到响应峰值，分别为2.59148、2.136434、2.119478、1.789887。按响应大小来排序，为“东部东北部中部西部”。虽然货币政策区域价格效应也存在地区差异性效应，但是其区域价格效应差异远远小于区域经济效应。从上述脉冲响应分析结果可见，中国货币政策主要影响东部区域的经济和物价水平，其次为东北和中部区域，对西部区域的影响比较小。有意思的是，中国财政政策区域经济效应的大小排序恰好相反，为“西部中部东北东部”。并且财政政策达到响应峰值时间也属西部是最快的。不仅如此，财政政策累计效应也得到了“西部中部东北东部”的同样结果。可见与货币政策类似，财政政策区域经济效应的地区差异性也未随时间而起大的变化。综合来看，上述关于货币政策、财政政策区域经济效应的地区差异性结果，为我们构建合理的且相互补充的财政、货币政策组合提供了许多的可能性。这一结论和格兰杰检验结果具有相互印证性6。关于货币政策的时差，在整个区域货币政策实施第一年达到效应峰值，除了西部区域之外，第二年累计效应达到峰值，第三年开始起效应变为负。财政政策效应在西部第一年、在中部第二年、在东北第三年、在东部第四年达到效应峰值。不难发现，虽然从财政政策效应的大小来看，西部区域效果最明显，但其效果保持的时间较短。这可能与中西部区域支柱产业不足、区域竞争优势较低、区域产业单一等原因有关；财政政策实施初期主要投入在基础实施建设上，因而实行初期效果较明显，但因缺乏强有力的产业支撑，其后续拉动经济的作用有限，导致了其效果保持的时间较短。因此，截至目前，通过财政政策尚无法充分弥补因货币政策实施所导致的区域经济差距。有效发挥财政和货币政策组合的效力，可能需要更为有力的产业政策的配合。</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本文利用Granger检验、VAR和脉冲响应分析等方法，对中国1979-202_年的财政和货币政策的“区域经济效应”、“区域物价效应”进行了实证研究，证实了中国货币政策、财政政策具有明显的地区差异性。虽然对中国货币和财政政策在区域经济效应上具有地区差异性的发现，与既有研究具有一致性。但本文的分析更强调单一政策和组合性政策效力的不同，尤其强调组合性政策对相关的产业配套政策的可能的依赖性。具体而言，货币政策区域经济效应的大小排序为“东部中部东北部西部”；财政政策区域经济效应的排序恰好相反。货币政策主要影响东部区域的发展，导致区域经济差距的扩大。这可能由货币政策实行之后，资金及生产要素主要流入到区域竞争优势强、投资环境良好、产业收益率高的东部发达区域所致。与此不同，财政政策对中西部落后区域的影响较大，缓解区域经济结构的恶化。但是财政政策对中西部区域的效果大却短暂，无法提供该区域经济发展的根本性解决方法；故而需要产业政策等相关措施的配套实施。另外，货币政策（M1）与各区域价格指数之间存在比较明显的双向格兰杰因果关系，其对区域物价效应的排序为“东部东北部中部西部”，但是其区域价格效应差异远远小于区域经济效应。从Granger检验看，财政政策（CZ）与区域物价指数之间不存在显著的格兰杰因果关系。但脉冲分析则表明，财政政策的实行会带来整个区域的物价下降。这可能是因为财政政策主要投在基础设施建设和城镇化建设上，会通过促进生产而导致总供给移动，最终导致了物价下降7。总之，财政和货币政策的组合可能要比单一的财政或货币政策更为有效。应综合考虑两个政策在区域经济效应与区域物价效应上的地区差异性，从而构建合理的且相互补充的财政、货币政策组合。由于财政政策尚无法完全弥补因货币政策实施所导致的区域经济差距，故可能需要更为有力的产业政策的配合，以有效发挥财政和货币政策组合的调控效力。</w:t>
      </w:r>
    </w:p>
    <w:p>
      <w:pPr>
        <w:ind w:left="0" w:right="0" w:firstLine="560"/>
        <w:spacing w:before="450" w:after="450" w:line="312" w:lineRule="auto"/>
      </w:pPr>
      <w:r>
        <w:rPr>
          <w:rFonts w:ascii="宋体" w:hAnsi="宋体" w:eastAsia="宋体" w:cs="宋体"/>
          <w:color w:val="000"/>
          <w:sz w:val="28"/>
          <w:szCs w:val="28"/>
        </w:rPr>
        <w:t xml:space="preserve">作者：玄相伯吴诗锋单位：北京大学经济学院北京工业大学经济管理学阮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