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试论纳税担保制度完善</w:t>
      </w:r>
      <w:bookmarkEnd w:id="1"/>
    </w:p>
    <w:p>
      <w:pPr>
        <w:jc w:val="center"/>
        <w:spacing w:before="0" w:after="450"/>
      </w:pPr>
      <w:r>
        <w:rPr>
          <w:rFonts w:ascii="Arial" w:hAnsi="Arial" w:eastAsia="Arial" w:cs="Arial"/>
          <w:color w:val="999999"/>
          <w:sz w:val="20"/>
          <w:szCs w:val="20"/>
        </w:rPr>
        <w:t xml:space="preserve">来源：网络  作者：心上花开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试论纳税担保制度完善 试论纳税担保制度完善试论纳税担保制度完善摘要:纳税担保是税收征管法中的一项新制度,这项制度的确立足以影响税收法律关系的性质,促进依法治税目标的实现。但是,由于法律的不完善导致纳税担保制度在实践中的落空,这不仅仅影响了立...</w:t>
      </w:r>
    </w:p>
    <w:p>
      <w:pPr>
        <w:ind w:left="0" w:right="0" w:firstLine="560"/>
        <w:spacing w:before="450" w:after="450" w:line="312" w:lineRule="auto"/>
      </w:pPr>
      <w:r>
        <w:rPr>
          <w:rFonts w:ascii="宋体" w:hAnsi="宋体" w:eastAsia="宋体" w:cs="宋体"/>
          <w:color w:val="000"/>
          <w:sz w:val="28"/>
          <w:szCs w:val="28"/>
        </w:rPr>
        <w:t xml:space="preserve">试论纳税担保制度完善 试论纳税担保制度完善试论纳税担保制度完善</w:t>
      </w:r>
    </w:p>
    <w:p>
      <w:pPr>
        <w:ind w:left="0" w:right="0" w:firstLine="560"/>
        <w:spacing w:before="450" w:after="450" w:line="312" w:lineRule="auto"/>
      </w:pPr>
      <w:r>
        <w:rPr>
          <w:rFonts w:ascii="宋体" w:hAnsi="宋体" w:eastAsia="宋体" w:cs="宋体"/>
          <w:color w:val="000"/>
          <w:sz w:val="28"/>
          <w:szCs w:val="28"/>
        </w:rPr>
        <w:t xml:space="preserve">摘要:纳税担保是税收征管法中的一项新制度,这项制度的确立足以影响税收法律关系的性质,促进依法治税目标的实现。但是,由于法律的不完善导致纳税担保制度在实践中的落空,这不仅仅影响了立法目的的实现,也损害了法律的权威性与实效型。</w:t>
      </w:r>
    </w:p>
    <w:p>
      <w:pPr>
        <w:ind w:left="0" w:right="0" w:firstLine="560"/>
        <w:spacing w:before="450" w:after="450" w:line="312" w:lineRule="auto"/>
      </w:pPr>
      <w:r>
        <w:rPr>
          <w:rFonts w:ascii="宋体" w:hAnsi="宋体" w:eastAsia="宋体" w:cs="宋体"/>
          <w:color w:val="000"/>
          <w:sz w:val="28"/>
          <w:szCs w:val="28"/>
        </w:rPr>
        <w:t xml:space="preserve">关键词:纳税担保、税收法律关系、性质、法律责任 纳税担保制度在税收征管法中的确立无论在理论上还是实践中都有重要意义。</w:t>
      </w:r>
    </w:p>
    <w:p>
      <w:pPr>
        <w:ind w:left="0" w:right="0" w:firstLine="560"/>
        <w:spacing w:before="450" w:after="450" w:line="312" w:lineRule="auto"/>
      </w:pPr>
      <w:r>
        <w:rPr>
          <w:rFonts w:ascii="宋体" w:hAnsi="宋体" w:eastAsia="宋体" w:cs="宋体"/>
          <w:color w:val="000"/>
          <w:sz w:val="28"/>
          <w:szCs w:val="28"/>
        </w:rPr>
        <w:t xml:space="preserve">首先,纳税担保制度的确立从理论上突破了原有公私法的界限,发展了我国税收法律关系理论。此前,我国税法理论界对税收法律关系的性质一直存在争议。传统上,根据马克思主义的国家学说和国家分配论,学者们认为税收就是国家凭借政治权力对社会产品进行再分配的形式,税法是国家制定的以保证其强制、固定、无偿地取得税收收入的法规范的总称。根据以上理论,税收法律关系被理解为国民对国家课税权的服从关系,征税权的行使与纳税义务的履行就成为税收法律关系的主要内容,这种税收法律关系具有鲜明的公法性质。然而,近年来,有的学者借鉴西方以社会契约论为基础对税收本质的论述:交换说和公共需要论,指出作为公法的税法与作为私法的民商法之间有着密切的内在联系,以至于税法与私法本质上应为统一的。并进而提出“在内涵税收法定主义之法治的宪法理念下,相对于民商法是从横向上对财产权和经济关系的平面保护-‘第一次保护’而言,税法其实是从纵向上对财产权和 经济关系的立体保护-‘第二次保护’,是一种更高层次、更重要的保护”。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2025-06-22T03:21:26+08:00</dcterms:created>
  <dcterms:modified xsi:type="dcterms:W3CDTF">2025-06-22T03:21:26+08:00</dcterms:modified>
</cp:coreProperties>
</file>

<file path=docProps/custom.xml><?xml version="1.0" encoding="utf-8"?>
<Properties xmlns="http://schemas.openxmlformats.org/officeDocument/2006/custom-properties" xmlns:vt="http://schemas.openxmlformats.org/officeDocument/2006/docPropsVTypes"/>
</file>