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试论贫困地区乡村关系失范问题论文</w:t>
      </w:r>
      <w:bookmarkEnd w:id="1"/>
    </w:p>
    <w:p>
      <w:pPr>
        <w:jc w:val="center"/>
        <w:spacing w:before="0" w:after="450"/>
      </w:pPr>
      <w:r>
        <w:rPr>
          <w:rFonts w:ascii="Arial" w:hAnsi="Arial" w:eastAsia="Arial" w:cs="Arial"/>
          <w:color w:val="999999"/>
          <w:sz w:val="20"/>
          <w:szCs w:val="20"/>
        </w:rPr>
        <w:t xml:space="preserve">来源：网络  作者：浅语风铃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从来源结构看,我国对外贸易客户信用风险的来源以海外华人公司为主。下面是编辑老师为大家准备的试论贫困地区乡村关系失范问题。 从我国国际贸易拖欠案件所涉及的海外公司性质看,我国的外贸信用风险主要是由海外华人客户带来的。笔者认为这些为数不多的海...</w:t>
      </w:r>
    </w:p>
    <w:p>
      <w:pPr>
        <w:ind w:left="0" w:right="0" w:firstLine="560"/>
        <w:spacing w:before="450" w:after="450" w:line="312" w:lineRule="auto"/>
      </w:pPr>
      <w:r>
        <w:rPr>
          <w:rFonts w:ascii="宋体" w:hAnsi="宋体" w:eastAsia="宋体" w:cs="宋体"/>
          <w:color w:val="000"/>
          <w:sz w:val="28"/>
          <w:szCs w:val="28"/>
        </w:rPr>
        <w:t xml:space="preserve">从来源结构看,我国对外贸易客户信用风险的来源以海外华人公司为主。下面是编辑老师为大家准备的试论贫困地区乡村关系失范问题。</w:t>
      </w:r>
    </w:p>
    <w:p>
      <w:pPr>
        <w:ind w:left="0" w:right="0" w:firstLine="560"/>
        <w:spacing w:before="450" w:after="450" w:line="312" w:lineRule="auto"/>
      </w:pPr>
      <w:r>
        <w:rPr>
          <w:rFonts w:ascii="宋体" w:hAnsi="宋体" w:eastAsia="宋体" w:cs="宋体"/>
          <w:color w:val="000"/>
          <w:sz w:val="28"/>
          <w:szCs w:val="28"/>
        </w:rPr>
        <w:t xml:space="preserve">从我国国际贸易拖欠案件所涉及的海外公司性质看,我国的外贸信用风险主要是由海外华人客户带来的。笔者认为这些为数不多的海外华人,包括港、澳、台地区的华人以及少数原籍中国大陆后来移居海外的华人具有与中国同族同种和语言相通的优势,他们对中国的国内经济环境比较熟悉,了解到我国处于由计划经济体制向市场经济体制转变过程中,各方面的管理仍不完善,存在着各种法律、管理漏洞,外贸企业内部的信用风险防范意识和信用风险管理能力薄弱。同时他们又抓住我国部分外贸企业领导存在着的一定急功近利和或多或少的崇洋媚外的心态,使得部分海外华人进口商可以肆意拖欠我国外贸企业货款,或诈骗屡屡得手,诈骗成功率要高于一般外国进口商。</w:t>
      </w:r>
    </w:p>
    <w:p>
      <w:pPr>
        <w:ind w:left="0" w:right="0" w:firstLine="560"/>
        <w:spacing w:before="450" w:after="450" w:line="312" w:lineRule="auto"/>
      </w:pPr>
      <w:r>
        <w:rPr>
          <w:rFonts w:ascii="宋体" w:hAnsi="宋体" w:eastAsia="宋体" w:cs="宋体"/>
          <w:color w:val="000"/>
          <w:sz w:val="28"/>
          <w:szCs w:val="28"/>
        </w:rPr>
        <w:t xml:space="preserve">从起因结构看,我国对外贸易客户信用风险的直接起因以恶意欺诈为主。具体结构为:有意欺诈的拖欠款占60%;产品质量、数量或交货期有争议的占25%;属于我方外贸企业交易严重失当及管理失误的占15%;交易人员私下默契台底交易占2.5%;其他性质占2.5%。我国对外贸易的过半货款拖欠是由客户的恶意欺诈引起,而非人们通常理解的主要是由诸如产品质量或货期等贸易纠纷引起。</w:t>
      </w:r>
    </w:p>
    <w:p>
      <w:pPr>
        <w:ind w:left="0" w:right="0" w:firstLine="560"/>
        <w:spacing w:before="450" w:after="450" w:line="312" w:lineRule="auto"/>
      </w:pPr>
      <w:r>
        <w:rPr>
          <w:rFonts w:ascii="宋体" w:hAnsi="宋体" w:eastAsia="宋体" w:cs="宋体"/>
          <w:color w:val="000"/>
          <w:sz w:val="28"/>
          <w:szCs w:val="28"/>
        </w:rPr>
        <w:t xml:space="preserve">从外贸企业性质结构看,我国对外贸易客户信用风险导致的国际拖欠所涉及的企业以国内的全资中资企业为主体。具体结构为:80%来自国内的企业,其中的50%为国有外贸企业,30%为私营外贸企业;另外20%来自三资企业。从企业结构中,我们可以明显了解到我国外资外贸企业的信用风险管理意识和水平相对要优于中资的外贸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2025-07-13T09:04:52+08:00</dcterms:created>
  <dcterms:modified xsi:type="dcterms:W3CDTF">2025-07-13T09:04:52+08:00</dcterms:modified>
</cp:coreProperties>
</file>

<file path=docProps/custom.xml><?xml version="1.0" encoding="utf-8"?>
<Properties xmlns="http://schemas.openxmlformats.org/officeDocument/2006/custom-properties" xmlns:vt="http://schemas.openxmlformats.org/officeDocument/2006/docPropsVTypes"/>
</file>