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分析税收代位实现应注意的问题</w:t>
      </w:r>
      <w:bookmarkEnd w:id="1"/>
    </w:p>
    <w:p>
      <w:pPr>
        <w:jc w:val="center"/>
        <w:spacing w:before="0" w:after="450"/>
      </w:pPr>
      <w:r>
        <w:rPr>
          <w:rFonts w:ascii="Arial" w:hAnsi="Arial" w:eastAsia="Arial" w:cs="Arial"/>
          <w:color w:val="999999"/>
          <w:sz w:val="20"/>
          <w:szCs w:val="20"/>
        </w:rPr>
        <w:t xml:space="preserve">来源：网络  作者：雾花翩跹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分析税收代位实现应注意的问题 分析税收代位实现应注意的问题分析税收代位实现应注意的问题美国着名法学家霍姆斯曾说过税收是文明的对价。结合税收的相关定义可知,税收让渡的对价其实质系公共产品服务价格的给付,即税收系以国家为主体的一种社会剩余产品分...</w:t>
      </w:r>
    </w:p>
    <w:p>
      <w:pPr>
        <w:ind w:left="0" w:right="0" w:firstLine="560"/>
        <w:spacing w:before="450" w:after="450" w:line="312" w:lineRule="auto"/>
      </w:pPr>
      <w:r>
        <w:rPr>
          <w:rFonts w:ascii="宋体" w:hAnsi="宋体" w:eastAsia="宋体" w:cs="宋体"/>
          <w:color w:val="000"/>
          <w:sz w:val="28"/>
          <w:szCs w:val="28"/>
        </w:rPr>
        <w:t xml:space="preserve">分析税收代位实现应注意的问题 分析税收代位实现应注意的问题分析税收代位实现应注意的问题</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2、付琛瑜:纳税人权利及其理论依据,载于《河南财政税务高等专科学校学报》202_年06期;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3、张渊:税收代位权及其实施问题研究,载于《四川大学》202_年;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4、伍丽萍、周军霞:税收代位权的必要性与危险性,载于《审计与理财》202_年第11期;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5、黄倩:论税收代位权适用的限制——从纳税人权利维护角度,载于《湖北广播电视大学学报》202_年04期;</w:t>
      </w:r>
    </w:p>
    <w:p>
      <w:pPr>
        <w:ind w:left="0" w:right="0" w:firstLine="560"/>
        <w:spacing w:before="450" w:after="450" w:line="312" w:lineRule="auto"/>
      </w:pPr>
      <w:r>
        <w:rPr>
          <w:rFonts w:ascii="宋体" w:hAnsi="宋体" w:eastAsia="宋体" w:cs="宋体"/>
          <w:color w:val="000"/>
          <w:sz w:val="28"/>
          <w:szCs w:val="28"/>
        </w:rPr>
        <w:t xml:space="preserve">6、202_年全国注册税务师职业资格教材税法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2025-06-19T05:30:18+08:00</dcterms:created>
  <dcterms:modified xsi:type="dcterms:W3CDTF">2025-06-19T05:30:18+08:00</dcterms:modified>
</cp:coreProperties>
</file>

<file path=docProps/custom.xml><?xml version="1.0" encoding="utf-8"?>
<Properties xmlns="http://schemas.openxmlformats.org/officeDocument/2006/custom-properties" xmlns:vt="http://schemas.openxmlformats.org/officeDocument/2006/docPropsVTypes"/>
</file>