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运用税收优惠政策进行纳税筹划探析</w:t>
      </w:r>
      <w:bookmarkEnd w:id="1"/>
    </w:p>
    <w:p>
      <w:pPr>
        <w:jc w:val="center"/>
        <w:spacing w:before="0" w:after="450"/>
      </w:pPr>
      <w:r>
        <w:rPr>
          <w:rFonts w:ascii="Arial" w:hAnsi="Arial" w:eastAsia="Arial" w:cs="Arial"/>
          <w:color w:val="999999"/>
          <w:sz w:val="20"/>
          <w:szCs w:val="20"/>
        </w:rPr>
        <w:t xml:space="preserve">来源：网络  作者：落花时节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运用税收优惠政策进行纳税筹划探析 运用税收优惠政策进行纳税筹划探析 运用税收优惠政策进行纳税筹划探析企业集团的税收筹划是从集团的发展全局出发,为减轻集团的总体税收负担,增加集团的税后利润而做出的一种战略性的筹划活动,具有超前性和全局性的特点...</w:t>
      </w:r>
    </w:p>
    <w:p>
      <w:pPr>
        <w:ind w:left="0" w:right="0" w:firstLine="560"/>
        <w:spacing w:before="450" w:after="450" w:line="312" w:lineRule="auto"/>
      </w:pPr>
      <w:r>
        <w:rPr>
          <w:rFonts w:ascii="宋体" w:hAnsi="宋体" w:eastAsia="宋体" w:cs="宋体"/>
          <w:color w:val="000"/>
          <w:sz w:val="28"/>
          <w:szCs w:val="28"/>
        </w:rPr>
        <w:t xml:space="preserve">运用税收优惠政策进行纳税筹划探析 运用税收优惠政策进行纳税筹划探析 运用税收优惠政策进行纳税筹划探析</w:t>
      </w:r>
    </w:p>
    <w:p>
      <w:pPr>
        <w:ind w:left="0" w:right="0" w:firstLine="560"/>
        <w:spacing w:before="450" w:after="450" w:line="312" w:lineRule="auto"/>
      </w:pPr>
      <w:r>
        <w:rPr>
          <w:rFonts w:ascii="宋体" w:hAnsi="宋体" w:eastAsia="宋体" w:cs="宋体"/>
          <w:color w:val="000"/>
          <w:sz w:val="28"/>
          <w:szCs w:val="28"/>
        </w:rPr>
        <w:t xml:space="preserve">企业集团的税收筹划是从集团的发展全局出发,为减轻集团的总体税收负担,增加集团的税后利润而做出的一种战略性的筹划活动,具有超前性和全局性的特点。目前,企业集团进行税收筹划的方式主要限于集团内部的转让定价、转移利息支出、管理费用、特许权使用费和弱化资本等消极避税方式。202_年9月,东北地区增值税转型的正式启动以及所得税政策的调整,为企业集团运用税收优惠政策开辟了更为广阔的纳税筹划空间。本文拟从企业集团的角度对其运用税收优惠政策(包括增值税转型前已有的税收优惠政策)进行纳税筹划问题加以探讨。</w:t>
      </w:r>
    </w:p>
    <w:p>
      <w:pPr>
        <w:ind w:left="0" w:right="0" w:firstLine="560"/>
        <w:spacing w:before="450" w:after="450" w:line="312" w:lineRule="auto"/>
      </w:pPr>
      <w:r>
        <w:rPr>
          <w:rFonts w:ascii="宋体" w:hAnsi="宋体" w:eastAsia="宋体" w:cs="宋体"/>
          <w:color w:val="000"/>
          <w:sz w:val="28"/>
          <w:szCs w:val="28"/>
        </w:rPr>
        <w:t xml:space="preserve">一、分立或合并成员企业,突出主营业务,获取抵扣资格的临界点</w:t>
      </w:r>
    </w:p>
    <w:p>
      <w:pPr>
        <w:ind w:left="0" w:right="0" w:firstLine="560"/>
        <w:spacing w:before="450" w:after="450" w:line="312" w:lineRule="auto"/>
      </w:pPr>
      <w:r>
        <w:rPr>
          <w:rFonts w:ascii="宋体" w:hAnsi="宋体" w:eastAsia="宋体" w:cs="宋体"/>
          <w:color w:val="000"/>
          <w:sz w:val="28"/>
          <w:szCs w:val="28"/>
        </w:rPr>
        <w:t xml:space="preserve">财税[202_]153号文件适用于东北地区扩大增值税抵扣范围的一般纳税人,生产销售装备制造业、石油化工业、冶金业、船舶制造业、汽车制造业、农产品加工业其产品的年销售额应占全部销售额的50%(含50%)。集团公司及成员企业要享有固定资产进项税额的抵扣资格,必须关注50%这个临界点。从企业集团角度看,如果有的成员企业从事六大行业的生产,但由于企业规模大导致这种生产不占主导地位,则可将这部分生产直接分立组建新的成员企业,重新进行工商和税务登记。分立后的新成员企业突出了主营业务,产品年销售额占全部销售额很容易达到50%以上,自然获得了固定资产进项税额的抵扣优惠。同理,如果企业集团有几个成员企业都从事六大行业的生产,但这种生产规模小导致其在企业中不占主导地位,则可将这几个成员企业生产六大行业中同一产品的分厂分离出来,重新合并组成新的成员企业以获得税收抵扣优惠。</w:t>
      </w:r>
    </w:p>
    <w:p>
      <w:pPr>
        <w:ind w:left="0" w:right="0" w:firstLine="560"/>
        <w:spacing w:before="450" w:after="450" w:line="312" w:lineRule="auto"/>
      </w:pPr>
      <w:r>
        <w:rPr>
          <w:rFonts w:ascii="宋体" w:hAnsi="宋体" w:eastAsia="宋体" w:cs="宋体"/>
          <w:color w:val="000"/>
          <w:sz w:val="28"/>
          <w:szCs w:val="28"/>
        </w:rPr>
        <w:t xml:space="preserve">二、扩大固定资产的投资和更新改造规模,增强产品竞争力,享受税收抵免</w:t>
      </w:r>
    </w:p>
    <w:p>
      <w:pPr>
        <w:ind w:left="0" w:right="0" w:firstLine="560"/>
        <w:spacing w:before="450" w:after="450" w:line="312" w:lineRule="auto"/>
      </w:pPr>
      <w:r>
        <w:rPr>
          <w:rFonts w:ascii="宋体" w:hAnsi="宋体" w:eastAsia="宋体" w:cs="宋体"/>
          <w:color w:val="000"/>
          <w:sz w:val="28"/>
          <w:szCs w:val="28"/>
        </w:rPr>
        <w:t xml:space="preserve">增值税转型后,固定资产投资成本降低,节约了现金流量,同时,各期折旧费用相应减少,利润总额将增加,所得税费用也会增加。总体上看,净利润无疑会增加。</w:t>
      </w:r>
    </w:p>
    <w:p>
      <w:pPr>
        <w:ind w:left="0" w:right="0" w:firstLine="560"/>
        <w:spacing w:before="450" w:after="450" w:line="312" w:lineRule="auto"/>
      </w:pPr>
      <w:r>
        <w:rPr>
          <w:rFonts w:ascii="宋体" w:hAnsi="宋体" w:eastAsia="宋体" w:cs="宋体"/>
          <w:color w:val="000"/>
          <w:sz w:val="28"/>
          <w:szCs w:val="28"/>
        </w:rPr>
        <w:t xml:space="preserve">东北部分企业率先取得固定资产进项税额的抵扣资格后,与其他地区、其他企业相比,在现金流量的节约和降低成本、增强盈利能力方面获得了时间优势。符合抵扣条件的东北企业集团应充分认识到这种时间优势的重要性,统一进行筹划。在消费型增值税推向全国以前,扩大固定资产投资和更新改造规模,利用成本降低优势提高同类产品在全国的竞争力。不考虑其他条件,可以看出,固定资产投资规模越大,集团公司或成员企业的成本优势就越明显。</w:t>
      </w:r>
    </w:p>
    <w:p>
      <w:pPr>
        <w:ind w:left="0" w:right="0" w:firstLine="560"/>
        <w:spacing w:before="450" w:after="450" w:line="312" w:lineRule="auto"/>
      </w:pPr>
      <w:r>
        <w:rPr>
          <w:rFonts w:ascii="宋体" w:hAnsi="宋体" w:eastAsia="宋体" w:cs="宋体"/>
          <w:color w:val="000"/>
          <w:sz w:val="28"/>
          <w:szCs w:val="28"/>
        </w:rPr>
        <w:t xml:space="preserve">三、调整企业集团内部折旧政策,充分享受加速折旧的好处 折旧的核算是一个成本分摊过程,其目的在于将固定资产的成本按合理而系统的方式,在它的估计有效使用期内进行摊销。不同折旧方法使每期摊销额不同,从而影响企业的应税所得和所得税税负。缩短折旧年限有利于加速成本收回,可以使后期成本费用前移,从而使前期会计利润发生后移。在税率稳定的情况下,所得税的递延缴纳,相当于向国家取得了一笔无息贷款。因此,集团公司应抓住此次解决技术改造落后、设备陈旧这一痼疾的良机,调整原来的集团内部折旧政策,在有条件的成员企业中采用缩短折旧年限的加速折旧政策,享受加速折旧的好处。</w:t>
      </w:r>
    </w:p>
    <w:p>
      <w:pPr>
        <w:ind w:left="0" w:right="0" w:firstLine="560"/>
        <w:spacing w:before="450" w:after="450" w:line="312" w:lineRule="auto"/>
      </w:pPr>
      <w:r>
        <w:rPr>
          <w:rFonts w:ascii="宋体" w:hAnsi="宋体" w:eastAsia="宋体" w:cs="宋体"/>
          <w:color w:val="000"/>
          <w:sz w:val="28"/>
          <w:szCs w:val="28"/>
        </w:rPr>
        <w:t xml:space="preserve">这里存在一个有待探讨的问题。目前,许多集团公司控股的子公司是上市公司。对于上市公司来讲,采用加速折旧方法,利润减少,会影响股票价格,不能仅考虑税收上的得失。笔者认为,可以采用会计与税法分离的做法,在会计核算上继续用现行的折旧年限计提折旧,不影响利润;在税务处理时,按缩短后的折旧年限计算折旧。对由于会计折旧年限与税法折旧年限不同而产生的时间性差异,在纳税时应予以调整,计算应纳税所得额。这样,上市公司就可以在不减少会计利润的同时享受加速折旧的好处。另外需要注意的是,如果成员企业正处于企业所得税减免税期,加速折旧、缩短无形资产摊销年限对企业不利,会减少企业从优惠政策中获得的减税利益。</w:t>
      </w:r>
    </w:p>
    <w:p>
      <w:pPr>
        <w:ind w:left="0" w:right="0" w:firstLine="560"/>
        <w:spacing w:before="450" w:after="450" w:line="312" w:lineRule="auto"/>
      </w:pPr>
      <w:r>
        <w:rPr>
          <w:rFonts w:ascii="宋体" w:hAnsi="宋体" w:eastAsia="宋体" w:cs="宋体"/>
          <w:color w:val="000"/>
          <w:sz w:val="28"/>
          <w:szCs w:val="28"/>
        </w:rPr>
        <w:t xml:space="preserve">四、加大研究与开发力度,提高企业集团的技术创新能力 技术开发和新产品开发事关企业的前途,因而不失时机地利用国家的优惠政策进行筹划节税,对企业集团提高其在市场竞争中的地位极为重要。具体操作思路为:一是由企业集团成立专门的研发部,集中成员企业的力量进行研发,并集中使用研发费用,而不再如以往一样将研发费用混于企业管理费中一并列支。这样,则不仅可以使开发费用在费用中全额列支,而且还可以加大应纳税所得额的抵免。二是与科研部门联合开发新产品、新技术,将资本化支出转化为收益性支出。直接购买新技术专利,按目前财务制度的规定,企业应将该项费用计入“无形资产”科目并在规定年限内逐期摊销。而改变交易形式,变从科研部门购买专利为与其联合开发专利,即雇用科研部门的科研人员与企业开发人员共同开发新技术,其技术开发费不仅可以全部进入当期成本,还可以加抵开发费总额50%的当年应纳税所得额。</w:t>
      </w:r>
    </w:p>
    <w:p>
      <w:pPr>
        <w:ind w:left="0" w:right="0" w:firstLine="560"/>
        <w:spacing w:before="450" w:after="450" w:line="312" w:lineRule="auto"/>
      </w:pPr>
      <w:r>
        <w:rPr>
          <w:rFonts w:ascii="宋体" w:hAnsi="宋体" w:eastAsia="宋体" w:cs="宋体"/>
          <w:color w:val="000"/>
          <w:sz w:val="28"/>
          <w:szCs w:val="28"/>
        </w:rPr>
        <w:t xml:space="preserve">五、充分发挥集团公司在企业集团中的理财中心作用 [参考文献] [2] 陈雅光。浅议企业集团税收筹划[J].北方经贸,202_,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2025-06-20T06:04:22+08:00</dcterms:created>
  <dcterms:modified xsi:type="dcterms:W3CDTF">2025-06-20T06:04:22+08:00</dcterms:modified>
</cp:coreProperties>
</file>

<file path=docProps/custom.xml><?xml version="1.0" encoding="utf-8"?>
<Properties xmlns="http://schemas.openxmlformats.org/officeDocument/2006/custom-properties" xmlns:vt="http://schemas.openxmlformats.org/officeDocument/2006/docPropsVTypes"/>
</file>