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所有权形态看中英中古赋税基本理论的差异</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所有权形态看中英中古赋税基本理论的差异 所有权形态看中英中古赋税基本理论的差异 所有权形态看中英中古赋税基本理论的差异摘 要:中英中古早期历史发展所形成的私有制基础和土地所有制的现实条件导致了“低度私有”的所有权形态。而同为“低度私有”,对...</w:t>
      </w:r>
    </w:p>
    <w:p>
      <w:pPr>
        <w:ind w:left="0" w:right="0" w:firstLine="560"/>
        <w:spacing w:before="450" w:after="450" w:line="312" w:lineRule="auto"/>
      </w:pPr>
      <w:r>
        <w:rPr>
          <w:rFonts w:ascii="宋体" w:hAnsi="宋体" w:eastAsia="宋体" w:cs="宋体"/>
          <w:color w:val="000"/>
          <w:sz w:val="28"/>
          <w:szCs w:val="28"/>
        </w:rPr>
        <w:t xml:space="preserve">所有权形态看中英中古赋税基本理论的差异 所有权形态看中英中古赋税基本理论的差异 所有权形态看中英中古赋税基本理论的差异</w:t>
      </w:r>
    </w:p>
    <w:p>
      <w:pPr>
        <w:ind w:left="0" w:right="0" w:firstLine="560"/>
        <w:spacing w:before="450" w:after="450" w:line="312" w:lineRule="auto"/>
      </w:pPr>
      <w:r>
        <w:rPr>
          <w:rFonts w:ascii="宋体" w:hAnsi="宋体" w:eastAsia="宋体" w:cs="宋体"/>
          <w:color w:val="000"/>
          <w:sz w:val="28"/>
          <w:szCs w:val="28"/>
        </w:rPr>
        <w:t xml:space="preserve">摘 要:中英中古早期历史发展所形成的私有制基础和土地所有制的现实条件导致了“低度私有”的所有权形态。而同为“低度私有”,对中国和英国赋税基本理论却造成了不同影响。在英国,在“低度私有”的形态下,土地所有权因多层分割而变得模糊不清,从而使土地税的征收难以实施;相反,国民对动产以及人们习惯区分于动产的工商之入的所有却清晰而且牢固,不存在土地关系中的分层与阻隔,所以征收是可能的。在中国,基于“溥天之下,莫非王土;率土之滨,莫非王臣”的古老理论,征收土地税和人头税不仅具有可能性,而且具有必然性。这样,中英中古赋税基本理论依据经济、社会条件的变化将它们设定为不同历史阶段赋税征收的主要项目也就顺理成章了。</w:t>
      </w:r>
    </w:p>
    <w:p>
      <w:pPr>
        <w:ind w:left="0" w:right="0" w:firstLine="560"/>
        <w:spacing w:before="450" w:after="450" w:line="312" w:lineRule="auto"/>
      </w:pPr>
      <w:r>
        <w:rPr>
          <w:rFonts w:ascii="宋体" w:hAnsi="宋体" w:eastAsia="宋体" w:cs="宋体"/>
          <w:color w:val="000"/>
          <w:sz w:val="28"/>
          <w:szCs w:val="28"/>
        </w:rPr>
        <w:t xml:space="preserve">关键词:中古社会;赋税基本理论;土地所有制;低度私有;赋税项目</w:t>
      </w:r>
    </w:p>
    <w:p>
      <w:pPr>
        <w:ind w:left="0" w:right="0" w:firstLine="560"/>
        <w:spacing w:before="450" w:after="450" w:line="312" w:lineRule="auto"/>
      </w:pPr>
      <w:r>
        <w:rPr>
          <w:rFonts w:ascii="宋体" w:hAnsi="宋体" w:eastAsia="宋体" w:cs="宋体"/>
          <w:color w:val="000"/>
          <w:sz w:val="28"/>
          <w:szCs w:val="28"/>
        </w:rPr>
        <w:t xml:space="preserve">赋税基本理论是笔者在欧美同行的启迪下提出的一个关于中西中古税制比较研究的新概念,旨在从深层次上认识中古税制,考察、描述和分析林林总总的赋税项目是怎样起源、设定并实施征收的。而所有权形态是认识中西中古社会赋税基本理论不同类型的重要基础,赋税基本理论正是在它的影响或制约下才设定了税项并实施了征收。那么,中英中古社会所有权形态的主要特征是什么?所有权形态是如何影响赋税基本理论的?怎样通过税项的设定看待中英中古赋税基本理论的差异?本文拟就这些问题作一论述,以就教于史学界同仁。</w:t>
      </w:r>
    </w:p>
    <w:p>
      <w:pPr>
        <w:ind w:left="0" w:right="0" w:firstLine="560"/>
        <w:spacing w:before="450" w:after="450" w:line="312" w:lineRule="auto"/>
      </w:pPr>
      <w:r>
        <w:rPr>
          <w:rFonts w:ascii="宋体" w:hAnsi="宋体" w:eastAsia="宋体" w:cs="宋体"/>
          <w:color w:val="000"/>
          <w:sz w:val="28"/>
          <w:szCs w:val="28"/>
        </w:rPr>
        <w:t xml:space="preserve">一、“低度私有”的所有权形态</w:t>
      </w:r>
    </w:p>
    <w:p>
      <w:pPr>
        <w:ind w:left="0" w:right="0" w:firstLine="560"/>
        <w:spacing w:before="450" w:after="450" w:line="312" w:lineRule="auto"/>
      </w:pPr>
      <w:r>
        <w:rPr>
          <w:rFonts w:ascii="宋体" w:hAnsi="宋体" w:eastAsia="宋体" w:cs="宋体"/>
          <w:color w:val="000"/>
          <w:sz w:val="28"/>
          <w:szCs w:val="28"/>
        </w:rPr>
        <w:t xml:space="preserve">在中英中古赋税基本理论的形成中,财产所有权都是一个重要的制约因素。而中古时代具有怎样的所有权形态与这种所有权具有怎样的历史基础和现实条件密切相关。这个历史基础和现实条件应处于中古社会发轫时期,在中国约为春秋战国时代,在英国则在诺曼征服之前。那么,处在这一时期的中国和英国,财产所有权状况如何呢?</w:t>
      </w:r>
    </w:p>
    <w:p>
      <w:pPr>
        <w:ind w:left="0" w:right="0" w:firstLine="560"/>
        <w:spacing w:before="450" w:after="450" w:line="312" w:lineRule="auto"/>
      </w:pPr>
      <w:r>
        <w:rPr>
          <w:rFonts w:ascii="宋体" w:hAnsi="宋体" w:eastAsia="宋体" w:cs="宋体"/>
          <w:color w:val="000"/>
          <w:sz w:val="28"/>
          <w:szCs w:val="28"/>
        </w:rPr>
        <w:t xml:space="preserve">先看英国。所谓历史基础,是指从罗马统治以迄诺曼征服期间的所有权发展状况。这一时期,是不列颠私有制萌生的关键时期。也正是这一时期,不列颠先后四次受到外族长期的大规模的入侵和统治,分别是公元前1世纪中叶的罗马人、公元5世纪的盎格鲁·撒克逊人、公元8世纪的丹麦人,以及1066年诺曼人的入侵和统治。这些入侵无论积极与否都在英国历史上留下了深刻的烙印,特别是盎格鲁·撒克逊和丹麦人的入侵,打断了私有制的萌芽,使私有制的产生表现出断续坎坷、步履维艰的特点,产生了消极的影响。 与罗马军队撤离而基督教人传同时,盎格鲁·撒克逊人渡海征服了不列颠并建立了统治。从社会发展进程看,盎格鲁·撒克逊人尚处于原始社会末期,这使在一定程度上业已罗马化的不列颠受到消极影响,社会发展受阻,并出现倒退现象。作为这种现象的重要表现之一,是他们将土地按农村公社的原则进行分配,从而在那些罗马化程度较高已获长足发展的地区重演了农村公社的历史。《伊尼法典》反映了农村公社存在的一些情况[3](P364-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当然,随着时间的推移,这些土地也有了一定程度的私有,比如自7世纪中叶,国王赐地之事即不断发生。赐地所立文书,皆由来自大陆的教士起草,其中所用术语,多袭自罗马法,由此罗马法原则再度影响英格兰的经济关系。遗存下来的国王赐地文书约千余件,所赐对象包括教俗两界的封建主,而以宗教人士或团体居多。但资料证明,这时不列颠土地可分两种,一是书田(bookland),一是民田(folkland)[4](p41,p60-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3)。所谓一定程度的私有,即指国王封赐的土地一一书田。而书田,只是很少一部分,绝大部分是民田,而民田仍属农村公社所有。所以综合看来,罗马私有制的影响仍然十分有限。</w:t>
      </w:r>
    </w:p>
    <w:p>
      <w:pPr>
        <w:ind w:left="0" w:right="0" w:firstLine="560"/>
        <w:spacing w:before="450" w:after="450" w:line="312" w:lineRule="auto"/>
      </w:pPr>
      <w:r>
        <w:rPr>
          <w:rFonts w:ascii="宋体" w:hAnsi="宋体" w:eastAsia="宋体" w:cs="宋体"/>
          <w:color w:val="000"/>
          <w:sz w:val="28"/>
          <w:szCs w:val="28"/>
        </w:rPr>
        <w:t xml:space="preserve">但就是这样一株纤弱的根苗,在丹麦人的入侵中再次遭到蹂躏。盎格鲁·撒克逊人统治期间,丹麦人曾多次大规模入侵不列颠,历时300年之久,对不列颠的历史发展造成了严重影响。与已经发展了的盎格鲁·撒克逊人相比,这些丹麦人大体处于民族迁徙时盎格鲁·萨克逊人的水平。作为落后民族,他们的入侵给不列颠带来了巨大破坏。基督教会和修道院受到严重冲击,教堂等建筑设施多成断壁残垣,而基督教会不仅代表不列颠的最高文明,且担负着文明传播的历史使命。因此,对基督教的破坏必然带来历史的倒退。另一方面,由于丹麦人处在原始社会末期,他们对征服的土地仍像5世纪的盎格鲁·撒克逊人那样按农村公社的原则进行分配,从而使不列颠特别是丹麦法区又一次展现了农村公社的历史景观。受此影响,业已私有化或正在私有化的土地复归公有。例如,上层的赐地由私有恢复了马克公社的公有性质。私有制的发展再次受到遏制,历史进程再次中断甚至倒退。</w:t>
      </w:r>
    </w:p>
    <w:p>
      <w:pPr>
        <w:ind w:left="0" w:right="0" w:firstLine="560"/>
        <w:spacing w:before="450" w:after="450" w:line="312" w:lineRule="auto"/>
      </w:pPr>
      <w:r>
        <w:rPr>
          <w:rFonts w:ascii="宋体" w:hAnsi="宋体" w:eastAsia="宋体" w:cs="宋体"/>
          <w:color w:val="000"/>
          <w:sz w:val="28"/>
          <w:szCs w:val="28"/>
        </w:rPr>
        <w:t xml:space="preserve">丹麦人的喧嚣刚刚沉寂,诺曼人的入侵又复开始。不过,这次入侵与前两次不同,不是以落后征服先进,而是以先进征服落后。这种征服当然也有一定的破坏作用,但对不列颠文明来说,总体看来是利大弊小。如罗马征服一样,诺曼人带来了大陆先进的文明,从而改变了在原始社会末期徘徊不前的局面,加速了不列颠的发展。</w:t>
      </w:r>
    </w:p>
    <w:p>
      <w:pPr>
        <w:ind w:left="0" w:right="0" w:firstLine="560"/>
        <w:spacing w:before="450" w:after="450" w:line="312" w:lineRule="auto"/>
      </w:pPr>
      <w:r>
        <w:rPr>
          <w:rFonts w:ascii="宋体" w:hAnsi="宋体" w:eastAsia="宋体" w:cs="宋体"/>
          <w:color w:val="000"/>
          <w:sz w:val="28"/>
          <w:szCs w:val="28"/>
        </w:rPr>
        <w:t xml:space="preserve">外族的频频入侵,农村公社的反复展现,不仅严重干扰了不列颠本土的私有化进程,而且削弱了外来积极因素如罗马法的正常作用。赋税理论所赖以形成的现实条件,正是接受了这样一种历史基础。</w:t>
      </w:r>
    </w:p>
    <w:p>
      <w:pPr>
        <w:ind w:left="0" w:right="0" w:firstLine="560"/>
        <w:spacing w:before="450" w:after="450" w:line="312" w:lineRule="auto"/>
      </w:pPr>
      <w:r>
        <w:rPr>
          <w:rFonts w:ascii="宋体" w:hAnsi="宋体" w:eastAsia="宋体" w:cs="宋体"/>
          <w:color w:val="000"/>
          <w:sz w:val="28"/>
          <w:szCs w:val="28"/>
        </w:rPr>
        <w:t xml:space="preserve">所谓现实条件,主要指诺曼底公爵从大陆法国输入的封建原则。英国赋税理论正是在这种原则的影响下形成的。1066年前后,诺曼底公爵领地同法国其他地区一样,封建化早已完成,封建秩序已经定型,封建阶梯也相应形成。在这一阶梯中,除国王外,各级封建主所占土地皆领自上一级封君。通过土地的领有,封建主一方面榨取农奴的剩余劳动,一方面享受封臣提供的协助金与其他封建义务。而由于一定范围内的各级封建主都从同一土地上获得收益,这块土地的所有权也就在这些封建主中分割开来,封建主所获收益从而视为他所分享部分所有权的表现。因为对封君来说,土地一经分出,便在封建法的保护下受到封臣的有力控制而难以收回,这意味着他对他所享有的部分所有权的丧失。而就封臣而言,因土地领自封君,必须按封建法设定的条件承担协助金与其他义务,所以也不享有这块土地的全部所有权。而当我们将这一封建关系置于整个封建阶梯中观察的时候,便必然发现,任何一级封建主包括国王在内,都不享有完整的所有权,而只是享有它的一部分。威廉所输入的正是这种封建原则,马克思称之为“导入的封建主义”。马克思所谓“导入”的涵义之一,是说英国的封建制度与法国的封建制度相比没有变化或很少变化,即将英国封建主义视为法国的同类。从这种意义上讲,英国便难以形成发达的私有制。因为在法国,既然土地所有权在各级封建主中分割,无论哪一级封建主,便都不会拥有土地的完全私有。而土地是当时社会的主要财富,土地非私有条件下的财产私有绝不是一种发达的私有。而且不止如此,“导入”一词并没有将英国封建制度建立的特征准确地表达出来。在“导入”过程中,威廉并没有完全照搬法国的模式,而是在“导入”的基础上予以改造,例如在索尔兹伯里盟誓时特别强调了国王的权力,从而使不列颠封建制度在其建立时即克服了不利于集权的一些因素,使英国形成了相对强大的王权。这样,仅就现实条件来说,英国只能形成低于而不会等同更不会高出法国的私有制。这种私有制由于王权相对强大,封臣对土地的控制或处分受到限制因而土地制度向国有或王有方面倾斜。</w:t>
      </w:r>
    </w:p>
    <w:p>
      <w:pPr>
        <w:ind w:left="0" w:right="0" w:firstLine="560"/>
        <w:spacing w:before="450" w:after="450" w:line="312" w:lineRule="auto"/>
      </w:pPr>
      <w:r>
        <w:rPr>
          <w:rFonts w:ascii="宋体" w:hAnsi="宋体" w:eastAsia="宋体" w:cs="宋体"/>
          <w:color w:val="000"/>
          <w:sz w:val="28"/>
          <w:szCs w:val="28"/>
        </w:rPr>
        <w:t xml:space="preserve">为便于讨论问题,这里引进一个“低度私有”的概念,以概括处在一定参照系中的英国中古私有制的发展状况。所谓“低度私有”,首先指中世纪私有制自身的发展状况。如果把这时英国的所有制视为一个整体,那么,构成这个整体主要部分的土地并非私有,或者不如说为贵族公有或共享[5](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私有的部分主要是动产和少量不动产如住宅等。而就一般家庭来说,这些私有财产的价值要远低于地产的价值。也就是说,私有制的发展过程尚处在较低的程度,所以称之为“低度私有”。另外,英国的“低度私有”还可以置于几个参照中予以认识。例如与罗马相比,罗马的私有制是古代社会发展的高峰,而且在罗马法的保护下发展得相当完备。这种私有制及其在法权上反映的私有权对中世纪的西欧社会产生了广泛而深刻的影响,对于英国私有制形成了自然的比照。与同时期的法国相比,这种私有制也处于较低水平。因为法国直接继承了罗马私有制的基础,私有制含量自始就比较大,发展的起点比较高。英国虽也曾受罗马因素影响,但其深度和广度都比较低,而私有化过程也一再因原始部族的冲击而中断,这就必然造成财产私有的低度状态。</w:t>
      </w:r>
    </w:p>
    <w:p>
      <w:pPr>
        <w:ind w:left="0" w:right="0" w:firstLine="560"/>
        <w:spacing w:before="450" w:after="450" w:line="312" w:lineRule="auto"/>
      </w:pPr>
      <w:r>
        <w:rPr>
          <w:rFonts w:ascii="宋体" w:hAnsi="宋体" w:eastAsia="宋体" w:cs="宋体"/>
          <w:color w:val="000"/>
          <w:sz w:val="28"/>
          <w:szCs w:val="28"/>
        </w:rPr>
        <w:t xml:space="preserve">与英国不同,中国的私有制产生过程较少受到外族入侵的干扰。村社土地所有制约自西周中后期即已开始解体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2025-05-02T08:32:33+08:00</dcterms:created>
  <dcterms:modified xsi:type="dcterms:W3CDTF">2025-05-02T08:32:33+08:00</dcterms:modified>
</cp:coreProperties>
</file>

<file path=docProps/custom.xml><?xml version="1.0" encoding="utf-8"?>
<Properties xmlns="http://schemas.openxmlformats.org/officeDocument/2006/custom-properties" xmlns:vt="http://schemas.openxmlformats.org/officeDocument/2006/docPropsVTypes"/>
</file>